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Default="00E57453" w:rsidP="00536231">
      <w:pPr>
        <w:pStyle w:val="Title"/>
        <w:ind w:left="2160" w:firstLine="720"/>
      </w:pPr>
      <w:r>
        <w:t xml:space="preserve">DCUSA DCP </w:t>
      </w:r>
      <w:r w:rsidR="003161EF">
        <w:t xml:space="preserve">222 </w:t>
      </w:r>
      <w:r>
        <w:t xml:space="preserve">Consultation </w:t>
      </w:r>
      <w:r w:rsidR="003161EF">
        <w:t xml:space="preserve">Three </w:t>
      </w:r>
      <w:r>
        <w:t>responses – collated comments</w:t>
      </w:r>
    </w:p>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0" w:name="dcusa_response1"/>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Do you understand the intent of DCP 222?</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t>Northern Powergrid on behalf of Northern Powergrid (Yorkshire) Plc and Northern Powergrid (Northeast)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No.  The report indicates that NG have not made it clear to the working group what the problem is that is seeking to be resolved.</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The intent of DCP 222 is to prevent generators being charged for operating outside of the 0.95 power factor, when DNOs request that they do so in order to bring an overall benefit to the system.</w:t>
            </w: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lastRenderedPageBreak/>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Yes we understand the intent of DCP 222</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Yes</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Yes</w:t>
            </w:r>
          </w:p>
        </w:tc>
      </w:tr>
      <w:tr w:rsidR="00800AE4" w:rsidTr="00800AE4">
        <w:tc>
          <w:tcPr>
            <w:tcW w:w="1701" w:type="dxa"/>
          </w:tcPr>
          <w:p w:rsidR="00800AE4" w:rsidRDefault="00800AE4" w:rsidP="00800AE4">
            <w:pPr>
              <w:pStyle w:val="BodyTextNoSpacing"/>
            </w:pPr>
            <w:r>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Yes</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Yes</w:t>
            </w:r>
          </w:p>
        </w:tc>
      </w:tr>
      <w:tr w:rsidR="00800AE4" w:rsidTr="00800AE4">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
            </w:pPr>
            <w:r>
              <w:t>Yes</w:t>
            </w:r>
          </w:p>
        </w:tc>
      </w:tr>
      <w:bookmarkEnd w:id="0"/>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1" w:name="dcusa_response2"/>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Do you agree with the principles of DCP 222?</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jc w:val="both"/>
            </w:pPr>
            <w:r>
              <w:t>Yes.</w:t>
            </w:r>
          </w:p>
        </w:tc>
      </w:tr>
      <w:tr w:rsidR="00800AE4" w:rsidTr="00800AE4">
        <w:tc>
          <w:tcPr>
            <w:tcW w:w="1701" w:type="dxa"/>
          </w:tcPr>
          <w:p w:rsidR="00800AE4" w:rsidRDefault="00800AE4" w:rsidP="00800AE4">
            <w:pPr>
              <w:pStyle w:val="BodyTextNoSpacing"/>
            </w:pPr>
            <w:r>
              <w:t xml:space="preserve">Northern Powergrid on behalf of Northern Powergrid (Yorkshire) Plc and Northern Powergrid </w:t>
            </w:r>
            <w:r>
              <w:lastRenderedPageBreak/>
              <w:t>(Northeast) Ltd</w:t>
            </w:r>
          </w:p>
        </w:tc>
        <w:tc>
          <w:tcPr>
            <w:tcW w:w="1871" w:type="dxa"/>
          </w:tcPr>
          <w:p w:rsidR="00800AE4" w:rsidRDefault="00800AE4" w:rsidP="00800AE4">
            <w:pPr>
              <w:pStyle w:val="BodyTextNoSpacing"/>
            </w:pPr>
            <w:r>
              <w:lastRenderedPageBreak/>
              <w:t>Non-confidential</w:t>
            </w:r>
          </w:p>
        </w:tc>
        <w:tc>
          <w:tcPr>
            <w:tcW w:w="10431" w:type="dxa"/>
          </w:tcPr>
          <w:p w:rsidR="00800AE4" w:rsidRPr="00CA4BB6" w:rsidRDefault="00800AE4" w:rsidP="00800AE4">
            <w:pPr>
              <w:pStyle w:val="BodyText"/>
            </w:pPr>
            <w:r w:rsidRPr="00CA4BB6">
              <w:t>Yes, we are supportive of the principle that generators should not be charged for excess reactive power when they are only operating under</w:t>
            </w:r>
            <w:r>
              <w:t xml:space="preserve"> </w:t>
            </w:r>
            <w:r w:rsidRPr="00CA4BB6">
              <w:t xml:space="preserve">conditions that would result in those charges being billed at the explicit request of the </w:t>
            </w:r>
            <w:r>
              <w:t xml:space="preserve">Distribution </w:t>
            </w:r>
            <w:r w:rsidRPr="00CA4BB6">
              <w:t>Network Operator</w:t>
            </w:r>
            <w:r>
              <w:t xml:space="preserve"> (DNO)</w:t>
            </w:r>
            <w:r w:rsidRPr="00CA4BB6">
              <w:t>.</w:t>
            </w:r>
          </w:p>
          <w:p w:rsidR="00800AE4" w:rsidRDefault="00800AE4" w:rsidP="00800AE4">
            <w:pPr>
              <w:pStyle w:val="BodyText"/>
              <w:jc w:val="both"/>
            </w:pPr>
            <w:r w:rsidRPr="00CA4BB6">
              <w:t xml:space="preserve">However, it has not been demonstrated that </w:t>
            </w:r>
            <w:r>
              <w:t>DNOs</w:t>
            </w:r>
            <w:r w:rsidRPr="00CA4BB6">
              <w:t xml:space="preserve"> currently require CDCM generators to operate outside 0.95 power factor </w:t>
            </w:r>
            <w:r>
              <w:t>on</w:t>
            </w:r>
            <w:r w:rsidRPr="00CA4BB6">
              <w:t xml:space="preserve"> a sufficiently high number of occasions (if at all) that would warrant this change.  We therefore feel that it would be more prudent to monitor the situation over the next few years. </w:t>
            </w:r>
          </w:p>
        </w:tc>
      </w:tr>
      <w:tr w:rsidR="00800AE4" w:rsidTr="00800AE4">
        <w:tc>
          <w:tcPr>
            <w:tcW w:w="1701" w:type="dxa"/>
          </w:tcPr>
          <w:p w:rsidR="00800AE4" w:rsidRDefault="00800AE4" w:rsidP="00800AE4">
            <w:pPr>
              <w:pStyle w:val="BodyTextNoSpacing"/>
            </w:pPr>
            <w:r>
              <w:lastRenderedPageBreak/>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autoSpaceDE w:val="0"/>
              <w:autoSpaceDN w:val="0"/>
              <w:adjustRightInd w:val="0"/>
              <w:rPr>
                <w:rFonts w:ascii="Tahoma" w:hAnsi="Tahoma" w:cs="Tahoma"/>
                <w:color w:val="000000"/>
                <w:szCs w:val="20"/>
              </w:rPr>
            </w:pPr>
            <w:r>
              <w:t>No – The report indicates that NG have not made it clear to the working group what the problem is that is seeking to be resolved.</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autoSpaceDE w:val="0"/>
              <w:autoSpaceDN w:val="0"/>
              <w:adjustRightInd w:val="0"/>
            </w:pPr>
            <w:r>
              <w:t>Yes</w:t>
            </w: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jc w:val="both"/>
            </w:pPr>
            <w:r>
              <w:t xml:space="preserve">No, for the reasons outlined below and stated in our responses to earlier consultations:  </w:t>
            </w:r>
          </w:p>
          <w:p w:rsidR="00800AE4" w:rsidRDefault="00800AE4" w:rsidP="00800AE4">
            <w:pPr>
              <w:pStyle w:val="BodyText"/>
              <w:jc w:val="both"/>
            </w:pPr>
            <w:r>
              <w:t>- “</w:t>
            </w:r>
            <w:r w:rsidRPr="004E2730">
              <w:t>The CP affects LV and HV connected generation only, which is normally relatively small scale. This level of generation is not typically required to truly assist with issues affecting the national transmission system.</w:t>
            </w:r>
          </w:p>
          <w:p w:rsidR="00800AE4" w:rsidRDefault="00800AE4" w:rsidP="00800AE4">
            <w:pPr>
              <w:pStyle w:val="BodyText"/>
              <w:jc w:val="both"/>
            </w:pPr>
            <w:r w:rsidRPr="00A103E5">
              <w:t xml:space="preserve">- We do not currently experience any significant issues with CDCM generator reactive power charges. The scale of the issue this CP seeks to address has not been demonstrated effectively and we </w:t>
            </w:r>
            <w:r>
              <w:t xml:space="preserve">do not believe an adequate case has been made to justify any changes to the CDCM at this time. </w:t>
            </w:r>
            <w:r w:rsidRPr="00A103E5">
              <w:t>Alternative solutions out with the CDCM should be considered i.e. contractual agreements between NG and</w:t>
            </w:r>
            <w:r>
              <w:t xml:space="preserve"> the DG customer.  </w:t>
            </w:r>
            <w:r w:rsidRPr="00A103E5">
              <w:t xml:space="preserve">        </w:t>
            </w:r>
          </w:p>
          <w:p w:rsidR="00800AE4" w:rsidRDefault="00800AE4" w:rsidP="00800AE4">
            <w:pPr>
              <w:pStyle w:val="BodyTextNoSpacing"/>
            </w:pPr>
            <w:r>
              <w:t>- Option 1</w:t>
            </w:r>
            <w:r w:rsidRPr="004E2730">
              <w:t xml:space="preserve"> seeks to introduce arrangements which would add complexity and administration issues. There would inevitably be significant site-specific technical and contractual reviews required around implementation of tariffs/billing</w:t>
            </w:r>
            <w:r>
              <w:t xml:space="preserve"> of charges to resolve a transmission system matter.”  </w:t>
            </w:r>
          </w:p>
        </w:tc>
      </w:tr>
      <w:tr w:rsidR="00800AE4" w:rsidTr="00800AE4">
        <w:tc>
          <w:tcPr>
            <w:tcW w:w="1701" w:type="dxa"/>
          </w:tcPr>
          <w:p w:rsidR="00800AE4" w:rsidRDefault="00800AE4" w:rsidP="00800AE4">
            <w:pPr>
              <w:pStyle w:val="BodyTextNoSpacing"/>
            </w:pPr>
            <w:r>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autoSpaceDE w:val="0"/>
              <w:autoSpaceDN w:val="0"/>
              <w:adjustRightInd w:val="0"/>
            </w:pPr>
            <w:r>
              <w:t>Yes with agree with the principles of DCP 222</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autoSpaceDE w:val="0"/>
              <w:autoSpaceDN w:val="0"/>
              <w:adjustRightInd w:val="0"/>
            </w:pPr>
            <w:r>
              <w:t>Yes</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autoSpaceDE w:val="0"/>
              <w:autoSpaceDN w:val="0"/>
              <w:adjustRightInd w:val="0"/>
            </w:pPr>
            <w:r>
              <w:t>Yes, broadly speaking we agree with the basic principles of the change proposal but we have reservations regarding the approach(</w:t>
            </w:r>
            <w:proofErr w:type="spellStart"/>
            <w:r>
              <w:t>es</w:t>
            </w:r>
            <w:proofErr w:type="spellEnd"/>
            <w:r>
              <w:t>) being explored.</w:t>
            </w:r>
          </w:p>
        </w:tc>
      </w:tr>
      <w:tr w:rsidR="00800AE4" w:rsidTr="00800AE4">
        <w:tc>
          <w:tcPr>
            <w:tcW w:w="1701" w:type="dxa"/>
          </w:tcPr>
          <w:p w:rsidR="00800AE4" w:rsidRDefault="00800AE4" w:rsidP="00800AE4">
            <w:pPr>
              <w:pStyle w:val="BodyTextNoSpacing"/>
            </w:pPr>
            <w:r>
              <w:lastRenderedPageBreak/>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autoSpaceDE w:val="0"/>
              <w:autoSpaceDN w:val="0"/>
              <w:adjustRightInd w:val="0"/>
            </w:pPr>
            <w:r>
              <w:t>Yes</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autoSpaceDE w:val="0"/>
              <w:autoSpaceDN w:val="0"/>
              <w:adjustRightInd w:val="0"/>
            </w:pPr>
            <w:r>
              <w:t>Yes</w:t>
            </w:r>
          </w:p>
        </w:tc>
      </w:tr>
      <w:tr w:rsidR="00800AE4" w:rsidTr="00800AE4">
        <w:trPr>
          <w:trHeight w:val="873"/>
        </w:trPr>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Pr="00800AE4" w:rsidRDefault="00800AE4" w:rsidP="00800AE4">
            <w:pPr>
              <w:autoSpaceDE w:val="0"/>
              <w:autoSpaceDN w:val="0"/>
              <w:adjustRightInd w:val="0"/>
            </w:pPr>
            <w:r w:rsidRPr="00800AE4">
              <w:t>Whilst we agree that it is unfair to charge generators for operating outside of the 0.95 PF limit when requested to do so for the benefit of the wider system, we do not believe that removing the reactive charge for the whole year to be a proportionate resolution of the defect described.</w:t>
            </w:r>
          </w:p>
          <w:p w:rsidR="00800AE4" w:rsidRPr="00CA4BB6" w:rsidRDefault="00800AE4" w:rsidP="00800AE4">
            <w:pPr>
              <w:pStyle w:val="BodyText"/>
            </w:pPr>
          </w:p>
        </w:tc>
      </w:tr>
      <w:bookmarkEnd w:id="1"/>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2" w:name="dcusa_response3"/>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Are there any unintended consequences of this proposal?</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jc w:val="both"/>
            </w:pPr>
            <w:r w:rsidRPr="004E3EDB">
              <w:t>None that we are currently aware of.</w:t>
            </w:r>
          </w:p>
        </w:tc>
      </w:tr>
      <w:tr w:rsidR="00800AE4" w:rsidTr="00800AE4">
        <w:tc>
          <w:tcPr>
            <w:tcW w:w="1701" w:type="dxa"/>
          </w:tcPr>
          <w:p w:rsidR="00800AE4" w:rsidRDefault="00800AE4" w:rsidP="00800AE4">
            <w:pPr>
              <w:pStyle w:val="BodyTextNoSpacing"/>
            </w:pPr>
            <w:r>
              <w:t>Northern Powergrid on behalf of Northern Powergrid (Yorkshire) Plc and Northern Powergrid (Northeast)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Within our licence areas we currently have no requirements for CDCM generation </w:t>
            </w:r>
            <w:proofErr w:type="spellStart"/>
            <w:r>
              <w:t>connectees</w:t>
            </w:r>
            <w:proofErr w:type="spellEnd"/>
            <w:r>
              <w:t xml:space="preserve"> to operate outside of the parameters stated in the standard connection agreement.</w:t>
            </w:r>
          </w:p>
          <w:p w:rsidR="00800AE4" w:rsidRDefault="00800AE4" w:rsidP="00800AE4">
            <w:pPr>
              <w:pStyle w:val="BodyText"/>
            </w:pPr>
            <w:r>
              <w:t xml:space="preserve">If the industry moves to a point where one of the options to be discussed at CDCM level, is the creation of a trilateral agreement, then this would require consideration of governance arrangements and constraints and also operational </w:t>
            </w:r>
            <w:r w:rsidRPr="00076D35">
              <w:t>arrangements</w:t>
            </w:r>
            <w:r>
              <w:t>.</w:t>
            </w:r>
          </w:p>
          <w:p w:rsidR="00800AE4" w:rsidRDefault="00800AE4" w:rsidP="00800AE4">
            <w:pPr>
              <w:pStyle w:val="BodyText"/>
            </w:pPr>
            <w:r>
              <w:t xml:space="preserve">Presumably any trilateral agreement would involve National Grid (NG) having a contractual arrangement with the DNO </w:t>
            </w:r>
            <w:proofErr w:type="spellStart"/>
            <w:r>
              <w:t>connectees</w:t>
            </w:r>
            <w:proofErr w:type="spellEnd"/>
            <w:r>
              <w:t xml:space="preserve">, who are not connected to the transmission network and therefore currently have no relationship with NG. </w:t>
            </w:r>
            <w:proofErr w:type="gramStart"/>
            <w:r>
              <w:t>Generally</w:t>
            </w:r>
            <w:proofErr w:type="gramEnd"/>
            <w:r>
              <w:t xml:space="preserve"> our experience is that industry parties are not supportive of trilateral agreements.</w:t>
            </w:r>
          </w:p>
          <w:p w:rsidR="00800AE4" w:rsidRPr="004E3EDB" w:rsidRDefault="00800AE4" w:rsidP="00800AE4">
            <w:pPr>
              <w:pStyle w:val="BodyText"/>
              <w:jc w:val="both"/>
            </w:pPr>
            <w:r w:rsidRPr="00CA4BB6">
              <w:t xml:space="preserve">In </w:t>
            </w:r>
            <w:proofErr w:type="gramStart"/>
            <w:r w:rsidRPr="00CA4BB6">
              <w:t>addition</w:t>
            </w:r>
            <w:proofErr w:type="gramEnd"/>
            <w:r w:rsidRPr="00CA4BB6">
              <w:t xml:space="preserve"> as a consequence of Option 1 creating new tariffs, there will also be new Line Loss Factor Classes</w:t>
            </w:r>
            <w:r>
              <w:t xml:space="preserve"> </w:t>
            </w:r>
            <w:r w:rsidRPr="00CA4BB6">
              <w:t xml:space="preserve">(LLFCs) created and it may be necessary to migrate a generation customer between </w:t>
            </w:r>
            <w:r>
              <w:t>tariffs</w:t>
            </w:r>
            <w:r w:rsidRPr="00CA4BB6">
              <w:t xml:space="preserve"> year</w:t>
            </w:r>
            <w:r>
              <w:t>-on-year</w:t>
            </w:r>
            <w:r w:rsidRPr="00CA4BB6">
              <w:t xml:space="preserve"> dependent on the best view of the </w:t>
            </w:r>
            <w:r>
              <w:t>DNO</w:t>
            </w:r>
            <w:r w:rsidRPr="00CA4BB6">
              <w:t xml:space="preserve"> and what the reactive power requirements will be 15 months hence.</w:t>
            </w:r>
            <w:r w:rsidRPr="00BF3299">
              <w:rPr>
                <w:rFonts w:ascii="Calibri" w:hAnsi="Calibri"/>
                <w:sz w:val="22"/>
                <w:szCs w:val="22"/>
              </w:rPr>
              <w:t xml:space="preserve">  </w:t>
            </w:r>
          </w:p>
        </w:tc>
      </w:tr>
      <w:tr w:rsidR="00800AE4" w:rsidTr="00800AE4">
        <w:tc>
          <w:tcPr>
            <w:tcW w:w="1701" w:type="dxa"/>
          </w:tcPr>
          <w:p w:rsidR="00800AE4" w:rsidRDefault="00800AE4" w:rsidP="00800AE4">
            <w:pPr>
              <w:pStyle w:val="BodyTextNoSpacing"/>
            </w:pPr>
            <w:r>
              <w:lastRenderedPageBreak/>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The analysis has been done on the current charges and the current behaviour of generators.  Remove the charges and the power factor may change significantly.  The report does not address what analysis has been done on generator behaviour if the excess reactive charges were to be removed.</w:t>
            </w:r>
          </w:p>
          <w:p w:rsidR="00800AE4" w:rsidRDefault="00800AE4" w:rsidP="00800AE4">
            <w:pPr>
              <w:pStyle w:val="BodyText"/>
            </w:pPr>
            <w:r>
              <w:t xml:space="preserve">The report references that failure to maintain the correct reactive level would </w:t>
            </w:r>
            <w:proofErr w:type="gramStart"/>
            <w:r>
              <w:t>considered</w:t>
            </w:r>
            <w:proofErr w:type="gramEnd"/>
            <w:r>
              <w:t xml:space="preserve"> as a breach of the connection agreement.  But in a previous DCP on excess capacity charges the Distributors argued that they could not enforce the customer to keep within the agreed capacity under the connection agreement without demonstrating a financial impact on themselves.  Is this scenario different? If so please explain how, and how </w:t>
            </w:r>
            <w:proofErr w:type="gramStart"/>
            <w:r>
              <w:t>the a</w:t>
            </w:r>
            <w:proofErr w:type="gramEnd"/>
            <w:r>
              <w:t xml:space="preserve"> generator exceeding the reactive power clause in the connection agreement will be monitored or enforced.</w:t>
            </w:r>
          </w:p>
          <w:p w:rsidR="00800AE4" w:rsidRDefault="00800AE4" w:rsidP="00800AE4">
            <w:pPr>
              <w:pStyle w:val="BodyText"/>
              <w:rPr>
                <w:rFonts w:ascii="Tahoma" w:hAnsi="Tahoma" w:cs="Tahoma"/>
                <w:color w:val="000000"/>
                <w:szCs w:val="20"/>
              </w:rPr>
            </w:pPr>
            <w:r>
              <w:t>The BSC arrangements were changed, at ongoing cost to many generation customers to separately meter the reactive consumption when the site is importing or exporting active power.  Are these changes now redundant?  Were the changes not actually required?  If they are no longer required for DUoS charging will a BSC change be raised to remove the unnecessary requirements?</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Theoretically, a generator would have less of an incentive to operate at its agreed power factor; as the charge for not doing so would be removed.</w:t>
            </w: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jc w:val="both"/>
            </w:pPr>
            <w:r>
              <w:t xml:space="preserve">This proposal only deals with Export and not the potentially larger concerns of Import; the authorised MIC and exceeded Import Capacity.  If a generator operates outside the 0.95 power factor limit, there are concerns that this may have consequential impacts on the Import (increased VARs) and the customer may be penalised through the Exceeded Capacity charge.  </w:t>
            </w:r>
          </w:p>
          <w:p w:rsidR="00800AE4" w:rsidRDefault="00800AE4" w:rsidP="00800AE4">
            <w:pPr>
              <w:pStyle w:val="BodyText"/>
              <w:jc w:val="both"/>
            </w:pPr>
            <w:r>
              <w:t>Also, t</w:t>
            </w:r>
            <w:r w:rsidRPr="00F24C55">
              <w:t xml:space="preserve">he formalisation of charging arrangements </w:t>
            </w:r>
            <w:r>
              <w:t>involving</w:t>
            </w:r>
            <w:r w:rsidRPr="00F24C55">
              <w:t xml:space="preserve"> low power factor could be seen as wider acceptance of low power factor in other respects and which is generally contrary to efficient network operation.</w:t>
            </w:r>
          </w:p>
          <w:p w:rsidR="00800AE4" w:rsidRDefault="00800AE4" w:rsidP="00800AE4">
            <w:pPr>
              <w:pStyle w:val="BodyTextNoSpacing"/>
            </w:pPr>
            <w:r w:rsidRPr="00C71C21">
              <w:t xml:space="preserve">With regard to Option 1, it may be difficult given the </w:t>
            </w:r>
            <w:proofErr w:type="gramStart"/>
            <w:r w:rsidRPr="00C71C21">
              <w:t>15 month</w:t>
            </w:r>
            <w:proofErr w:type="gramEnd"/>
            <w:r w:rsidRPr="00C71C21">
              <w:t xml:space="preserve"> notice constraint to forecast which generators will be required to operate outside the 0.95 power factor limit.  </w:t>
            </w:r>
            <w:r>
              <w:t xml:space="preserve">There is the potential that customers </w:t>
            </w:r>
            <w:r w:rsidRPr="00C71C21">
              <w:t xml:space="preserve">will therefore have to move </w:t>
            </w:r>
            <w:r>
              <w:t xml:space="preserve">tariffs within the charging year.  </w:t>
            </w:r>
          </w:p>
        </w:tc>
      </w:tr>
      <w:tr w:rsidR="00800AE4" w:rsidTr="00800AE4">
        <w:tc>
          <w:tcPr>
            <w:tcW w:w="1701" w:type="dxa"/>
          </w:tcPr>
          <w:p w:rsidR="00800AE4" w:rsidRDefault="00800AE4" w:rsidP="00800AE4">
            <w:pPr>
              <w:pStyle w:val="BodyTextNoSpacing"/>
            </w:pPr>
            <w:r>
              <w:lastRenderedPageBreak/>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The reactive </w:t>
            </w:r>
            <w:proofErr w:type="gramStart"/>
            <w:r>
              <w:t>units</w:t>
            </w:r>
            <w:proofErr w:type="gramEnd"/>
            <w:r>
              <w:t xml:space="preserve"> impact on the capacity charge for the associated Import MPAN.  There is no capacity charge on the Export MPANS.  In order not to penalise the Import MPAN with a potential high capacity charge due to the reactive from the Export MPAN, then the Import tariff would need to ignore the reactive.  The DURABILL application already deals with this issue if needed.  We currently bill the excess Import capacity. </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No</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We believe that the implementation of DCP 222 may have unintended consequences that have not been addressed by the consultations for this change.</w:t>
            </w:r>
          </w:p>
          <w:p w:rsidR="00800AE4" w:rsidRDefault="00800AE4" w:rsidP="00800AE4">
            <w:pPr>
              <w:pStyle w:val="BodyText"/>
            </w:pPr>
            <w:r>
              <w:t>One consequence of this change is that generators may, where requested to operate outside the normal power factor by DNOs, exceed their Maximum Export Capacity (MEC). The kVA export is determined, in part, by the reactive power component. Where a customer has a poor power factor this will have an adverse impact to increase the exported kVA. This may mean that the generator will be required to increase their MEC and pay more for reserving this export capacity or they may be faced with excess capacity charges. We do not believe that this issue has been addressed by the working group up to this point but believe that it may be counter to the intention of the change proposal if the generator faces higher capacity charges as a result of being asked to operate outside of the normal power factor window by the DNO.</w:t>
            </w:r>
          </w:p>
          <w:p w:rsidR="00800AE4" w:rsidRDefault="00800AE4" w:rsidP="00800AE4">
            <w:pPr>
              <w:pStyle w:val="BodyText"/>
            </w:pPr>
            <w:r>
              <w:t xml:space="preserve">A further consequence that we do not believe has been considered by the working group is the socialisation of the costs that will not be recovered by charging excess reactive power for generation customers. Whilst it has been confirmed that for the CDCM these costs will be put back in to the CDCM revenue pot there is no confirmation as to how these costs will subsequently be allocated. Reactive power charges are </w:t>
            </w:r>
            <w:r w:rsidRPr="00B532B0">
              <w:t>deemed to reflect the reasonable costs incurred in operating the distribution system. We do not believe that the change proposal has reasonably considered</w:t>
            </w:r>
            <w:r>
              <w:t xml:space="preserve"> where the revenues that will not be recovered from the excess reactive power charges will be reallocated to. If the DNO requires a generation customer to operate outside of the normal power factor </w:t>
            </w:r>
            <w:proofErr w:type="gramStart"/>
            <w:r>
              <w:t>window</w:t>
            </w:r>
            <w:proofErr w:type="gramEnd"/>
            <w:r>
              <w:t xml:space="preserve"> then it must be demonstrated that another group of customers will benefit from this.</w:t>
            </w:r>
          </w:p>
          <w:p w:rsidR="00800AE4" w:rsidRDefault="00800AE4" w:rsidP="00800AE4">
            <w:pPr>
              <w:pStyle w:val="BodyText"/>
            </w:pPr>
            <w:r>
              <w:t xml:space="preserve">Until such time as it has been thoroughly demonstrated that a set of customers will benefit from generators operating in this way we do not believe that it is reasonable for all the costs that are reassigned to be smeared across the generality of customers. </w:t>
            </w:r>
          </w:p>
        </w:tc>
      </w:tr>
      <w:tr w:rsidR="00800AE4" w:rsidTr="00800AE4">
        <w:tc>
          <w:tcPr>
            <w:tcW w:w="1701" w:type="dxa"/>
          </w:tcPr>
          <w:p w:rsidR="00800AE4" w:rsidRDefault="00800AE4" w:rsidP="00800AE4">
            <w:pPr>
              <w:pStyle w:val="BodyTextNoSpacing"/>
            </w:pPr>
            <w:r>
              <w:lastRenderedPageBreak/>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The purpose of reactive power charges is to encourage sites to operate at or near unity power factor. If this is </w:t>
            </w:r>
            <w:proofErr w:type="gramStart"/>
            <w:r>
              <w:t>achieved</w:t>
            </w:r>
            <w:proofErr w:type="gramEnd"/>
            <w:r>
              <w:t xml:space="preserve"> then the site receives no excess charges and typically network costs are minimised. If excess charges are removed the change could result in a generator producing excess reactive power and causing additional problems to the operation of the network.</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There are no unintended consequences for Option 1 but if option 3 were to be applied then there will be less reason for generators to control their power factors. This could have adverse effects on the network.</w:t>
            </w:r>
          </w:p>
        </w:tc>
      </w:tr>
      <w:tr w:rsidR="00800AE4" w:rsidTr="00800AE4">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
            </w:pPr>
            <w:r w:rsidRPr="00800AE4">
              <w:t>Removing the financial incentive for generators to remain within a 0.95 PF potentially leads to increased reactive power flows on the network and thereby increase DNO costs. We also have concerns around how capacity utilisation would be calculated in instances where the DNO has requested that the generator operates at a PF below 0.95</w:t>
            </w:r>
            <w:r>
              <w:t>.</w:t>
            </w:r>
          </w:p>
        </w:tc>
      </w:tr>
      <w:bookmarkEnd w:id="2"/>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3" w:name="dcusa_response4"/>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For each option (1 &amp; 3) which DCUSA General Objectives does the CP better facilitate? Please provide supporting comments.</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For Option 1:</w:t>
            </w:r>
          </w:p>
          <w:p w:rsidR="00800AE4" w:rsidRDefault="00800AE4" w:rsidP="00800AE4">
            <w:pPr>
              <w:pStyle w:val="BodyText"/>
            </w:pPr>
            <w:r w:rsidRPr="004E3EDB">
              <w:t xml:space="preserve">We </w:t>
            </w:r>
            <w:r>
              <w:t>believe</w:t>
            </w:r>
            <w:r w:rsidRPr="004E3EDB">
              <w:t xml:space="preserve"> that DCUSA General Objective 1 </w:t>
            </w:r>
            <w:r>
              <w:t xml:space="preserve">is </w:t>
            </w:r>
            <w:r w:rsidRPr="004E3EDB">
              <w:t>better facilitated by DCP 222</w:t>
            </w:r>
            <w:r>
              <w:t xml:space="preserve"> as it will enable DNOs to manage system voltage control by requesting that a generator operate outside a power factor limit for certain periods (without the generator being subject to Reactive Power charges), potentially resulting in more efficient operation of the distribution network.</w:t>
            </w:r>
          </w:p>
          <w:p w:rsidR="00800AE4" w:rsidRDefault="00800AE4" w:rsidP="00800AE4">
            <w:pPr>
              <w:pStyle w:val="BodyText"/>
            </w:pPr>
          </w:p>
          <w:p w:rsidR="00800AE4" w:rsidRDefault="00800AE4" w:rsidP="00800AE4">
            <w:pPr>
              <w:pStyle w:val="BodyText"/>
            </w:pPr>
            <w:r>
              <w:t>For Option 3:</w:t>
            </w:r>
          </w:p>
          <w:p w:rsidR="00800AE4" w:rsidRPr="0008774F" w:rsidRDefault="00800AE4" w:rsidP="00800AE4">
            <w:pPr>
              <w:pStyle w:val="BodyTextNoSpacing"/>
              <w:rPr>
                <w:b/>
                <w:u w:val="single"/>
              </w:rPr>
            </w:pPr>
            <w:r>
              <w:t xml:space="preserve">As above we believe </w:t>
            </w:r>
            <w:r w:rsidRPr="002177A1">
              <w:t>that DCUSA General Objective 1 is better facilitated by DCP 222</w:t>
            </w:r>
            <w:r>
              <w:t>, but we believe this benefit is partly undermined by the removal of all Reactive Power charges which weakens economic incentives for generators to operate in a manner which facilitates the efficient operation of distribution networks.</w:t>
            </w:r>
          </w:p>
        </w:tc>
      </w:tr>
      <w:tr w:rsidR="00800AE4" w:rsidTr="00800AE4">
        <w:tc>
          <w:tcPr>
            <w:tcW w:w="1701" w:type="dxa"/>
          </w:tcPr>
          <w:p w:rsidR="00800AE4" w:rsidRDefault="00800AE4" w:rsidP="00800AE4">
            <w:pPr>
              <w:pStyle w:val="BodyTextNoSpacing"/>
            </w:pPr>
            <w:r>
              <w:lastRenderedPageBreak/>
              <w:t>Northern Powergrid on behalf of Northern Powergrid (Yorkshire) Plc and Northern Powergrid (Northeast)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We believe Option 1 introduces some significant complexity in that it would create additional tariffs and associated LLFCs and the monitoring of year-on-year tariff changes.</w:t>
            </w:r>
          </w:p>
          <w:p w:rsidR="00800AE4" w:rsidRDefault="00800AE4" w:rsidP="00800AE4">
            <w:pPr>
              <w:pStyle w:val="BodyText"/>
            </w:pPr>
            <w:r>
              <w:t xml:space="preserve">Both options would remove the reactive power charges from generators and bring them more in line with EDCM customers who have no reactive charges as this is taken into account in the </w:t>
            </w:r>
            <w:proofErr w:type="spellStart"/>
            <w:r>
              <w:t>loadflow</w:t>
            </w:r>
            <w:proofErr w:type="spellEnd"/>
            <w:r>
              <w:t xml:space="preserve"> element of the methodology.</w:t>
            </w:r>
          </w:p>
          <w:p w:rsidR="00800AE4" w:rsidRPr="00CA4BB6" w:rsidRDefault="00800AE4" w:rsidP="00800AE4">
            <w:pPr>
              <w:pStyle w:val="BodyText"/>
              <w:keepNext/>
            </w:pPr>
            <w:r w:rsidRPr="00CA4BB6">
              <w:t xml:space="preserve">General Objective One – The development, maintenance and operation by the DNO Parties and IDNO Parties of efficient, co-ordinated, and economical Distribution Networks.  </w:t>
            </w:r>
          </w:p>
          <w:p w:rsidR="00800AE4" w:rsidRPr="00CA4BB6" w:rsidRDefault="00800AE4" w:rsidP="00800AE4">
            <w:pPr>
              <w:pStyle w:val="BodyText"/>
              <w:keepNext/>
            </w:pPr>
            <w:r w:rsidRPr="00CA4BB6">
              <w:t xml:space="preserve">Both options will ensure generators are not financially penalised or discouraged from operating outside a 0.95 power factor when the </w:t>
            </w:r>
            <w:r>
              <w:t>DNO</w:t>
            </w:r>
            <w:r w:rsidRPr="00CA4BB6">
              <w:t xml:space="preserve"> requires them to.</w:t>
            </w:r>
          </w:p>
          <w:p w:rsidR="00800AE4" w:rsidRPr="00CA4BB6" w:rsidRDefault="00800AE4" w:rsidP="00800AE4">
            <w:pPr>
              <w:pStyle w:val="BodyText"/>
              <w:keepNext/>
            </w:pPr>
            <w:r w:rsidRPr="00CA4BB6">
              <w:t>General Objective Three – The efficient discharge by the DNO Parties and IDNO Parties of obligations imposed upon them in their Distribution Licences.</w:t>
            </w:r>
          </w:p>
          <w:p w:rsidR="00800AE4" w:rsidRDefault="00800AE4" w:rsidP="00800AE4">
            <w:pPr>
              <w:pStyle w:val="BodyText"/>
            </w:pPr>
            <w:r w:rsidRPr="00CA4BB6">
              <w:t>A common model used by every DNO based upon a common methodology will enable compliance with distribution licences, but Option 1 could result in inefficient/disproportionate costs being incurred to manage a small number of customers and will add an additional level of complexity to the CDCM, therefore does not better meet this objective.</w:t>
            </w:r>
          </w:p>
        </w:tc>
      </w:tr>
      <w:tr w:rsidR="00800AE4" w:rsidTr="00800AE4">
        <w:tc>
          <w:tcPr>
            <w:tcW w:w="1701" w:type="dxa"/>
          </w:tcPr>
          <w:p w:rsidR="00800AE4" w:rsidRDefault="00800AE4" w:rsidP="00800AE4">
            <w:pPr>
              <w:pStyle w:val="BodyTextNoSpacing"/>
            </w:pPr>
            <w:r>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rPr>
                <w:rFonts w:ascii="Tahoma" w:hAnsi="Tahoma" w:cs="Tahoma"/>
                <w:color w:val="000000"/>
                <w:szCs w:val="20"/>
              </w:rPr>
            </w:pPr>
            <w:r>
              <w:t xml:space="preserve">Without a clear understanding of the problem that is seeking to be solved, it is not clear whether the solution meets the objectives.  </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Option 1: Better facilitates DCUSA general objectives 1.</w:t>
            </w:r>
          </w:p>
          <w:p w:rsidR="00800AE4" w:rsidRDefault="00800AE4" w:rsidP="00800AE4">
            <w:pPr>
              <w:pStyle w:val="BodyText"/>
            </w:pPr>
            <w:r>
              <w:t xml:space="preserve">Option 3: Better facilitates DCUSA general objectives 1,3 and 4. </w:t>
            </w:r>
          </w:p>
        </w:tc>
      </w:tr>
      <w:tr w:rsidR="00800AE4" w:rsidTr="00800AE4">
        <w:tc>
          <w:tcPr>
            <w:tcW w:w="1701" w:type="dxa"/>
          </w:tcPr>
          <w:p w:rsidR="00800AE4" w:rsidRDefault="00800AE4" w:rsidP="00800AE4">
            <w:pPr>
              <w:pStyle w:val="BodyTextNoSpacing"/>
            </w:pPr>
            <w:r>
              <w:t xml:space="preserve">Southern Electric Power Distribution plc and Scottish Hydro Electric Power </w:t>
            </w:r>
            <w:r>
              <w:lastRenderedPageBreak/>
              <w:t>Distribution plc</w:t>
            </w:r>
          </w:p>
        </w:tc>
        <w:tc>
          <w:tcPr>
            <w:tcW w:w="1871" w:type="dxa"/>
          </w:tcPr>
          <w:p w:rsidR="00800AE4" w:rsidRDefault="00800AE4" w:rsidP="00800AE4">
            <w:pPr>
              <w:pStyle w:val="BodyTextNoSpacing"/>
            </w:pPr>
            <w:r>
              <w:lastRenderedPageBreak/>
              <w:t>Non-confidential</w:t>
            </w:r>
          </w:p>
        </w:tc>
        <w:tc>
          <w:tcPr>
            <w:tcW w:w="10431" w:type="dxa"/>
          </w:tcPr>
          <w:p w:rsidR="00800AE4" w:rsidRDefault="00800AE4" w:rsidP="00800AE4">
            <w:pPr>
              <w:pStyle w:val="BodyTextNoSpacing"/>
            </w:pPr>
            <w:r w:rsidRPr="0008774F">
              <w:rPr>
                <w:b/>
                <w:u w:val="single"/>
              </w:rPr>
              <w:t>Option 1</w:t>
            </w:r>
            <w:r>
              <w:rPr>
                <w:b/>
                <w:u w:val="single"/>
              </w:rPr>
              <w:t xml:space="preserve"> &amp; 3</w:t>
            </w:r>
            <w:r>
              <w:t xml:space="preserve"> – We would argue both</w:t>
            </w:r>
            <w:r w:rsidRPr="004A1573">
              <w:t xml:space="preserve"> option</w:t>
            </w:r>
            <w:r>
              <w:t>s are</w:t>
            </w:r>
            <w:r w:rsidRPr="004A1573">
              <w:t xml:space="preserve"> contrary to efficient charging arrangements</w:t>
            </w:r>
            <w:r>
              <w:t xml:space="preserve"> (for reasons specified previously)</w:t>
            </w:r>
            <w:r w:rsidRPr="004A1573">
              <w:t xml:space="preserve"> and therefore do not believe the DCUSA </w:t>
            </w:r>
            <w:r>
              <w:t>General</w:t>
            </w:r>
            <w:r w:rsidRPr="004A1573">
              <w:t xml:space="preserve"> Objectives are better facilitated.    </w:t>
            </w:r>
          </w:p>
        </w:tc>
      </w:tr>
      <w:tr w:rsidR="00800AE4" w:rsidTr="00800AE4">
        <w:tc>
          <w:tcPr>
            <w:tcW w:w="1701" w:type="dxa"/>
          </w:tcPr>
          <w:p w:rsidR="00800AE4" w:rsidRDefault="00800AE4" w:rsidP="00800AE4">
            <w:pPr>
              <w:pStyle w:val="BodyTextNoSpacing"/>
            </w:pPr>
            <w:r>
              <w:lastRenderedPageBreak/>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We agree with the working group that DCUSA General Objectives 1 and 3 are better facilitated for each option.</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We believe Option 1 and 3 better facilitates all DCUSA General Objectives </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rsidRPr="00102E5E">
              <w:t>We cannot be convinced that, in their current form, either of the proposals can better facilitate any of the DCUSA General Objectives. It could be argued that the 1</w:t>
            </w:r>
            <w:r w:rsidRPr="00102E5E">
              <w:rPr>
                <w:vertAlign w:val="superscript"/>
              </w:rPr>
              <w:t>st</w:t>
            </w:r>
            <w:r w:rsidRPr="00102E5E">
              <w:t xml:space="preserve"> DCUSA General Objective (development and maintenance of an efficient distribution system) is better facilitated by options 1 &amp; 3 as it affords the DNOs flexibility in the way that they manage their distribution system. However, the introduction of new tariffs or alteration to existing</w:t>
            </w:r>
            <w:r>
              <w:t xml:space="preserve"> tariffs may cause some uncertainty with customers and lead to the customer, and therefore the distribution system, being operated inefficiently. </w:t>
            </w:r>
          </w:p>
          <w:p w:rsidR="00800AE4" w:rsidRDefault="00800AE4" w:rsidP="00800AE4">
            <w:pPr>
              <w:pStyle w:val="BodyText"/>
            </w:pPr>
            <w:r>
              <w:t>We believe that the 2</w:t>
            </w:r>
            <w:r w:rsidRPr="00B9183E">
              <w:rPr>
                <w:vertAlign w:val="superscript"/>
              </w:rPr>
              <w:t>nd</w:t>
            </w:r>
            <w:r>
              <w:t xml:space="preserve"> DCUSA General Objective is directly damaged by adopting option 1. Generators would be unable to determine through any action of their own whether they are being charged excess reactive power as this would be through a decision made by the distributor. </w:t>
            </w:r>
            <w:proofErr w:type="gramStart"/>
            <w:r>
              <w:t>Therefore</w:t>
            </w:r>
            <w:proofErr w:type="gramEnd"/>
            <w:r>
              <w:t xml:space="preserve"> it appears unduly discriminatory to some generators and may have an adverse effect on competition within generation of electricity.</w:t>
            </w:r>
          </w:p>
          <w:p w:rsidR="00800AE4" w:rsidRDefault="00800AE4" w:rsidP="00800AE4">
            <w:pPr>
              <w:pStyle w:val="BodyText"/>
            </w:pPr>
            <w:r>
              <w:t>We would refer to the comments above with regards to the 3</w:t>
            </w:r>
            <w:r w:rsidRPr="001413CF">
              <w:rPr>
                <w:vertAlign w:val="superscript"/>
              </w:rPr>
              <w:t>rd</w:t>
            </w:r>
            <w:r>
              <w:t xml:space="preserve"> General Objective as DNOs are under licence conditions (4.6) to adopt charging methodologies that facilitate competition in the generation of electricity.</w:t>
            </w:r>
          </w:p>
          <w:p w:rsidR="00800AE4" w:rsidRDefault="00800AE4" w:rsidP="00800AE4">
            <w:pPr>
              <w:pStyle w:val="BodyText"/>
            </w:pPr>
            <w:r>
              <w:t>We believe that DCUSA General Objectives 4 and 5 are unaffected by this change proposal</w:t>
            </w:r>
          </w:p>
        </w:tc>
      </w:tr>
      <w:tr w:rsidR="00800AE4" w:rsidTr="00800AE4">
        <w:tc>
          <w:tcPr>
            <w:tcW w:w="1701" w:type="dxa"/>
          </w:tcPr>
          <w:p w:rsidR="00800AE4" w:rsidRDefault="00800AE4" w:rsidP="00800AE4">
            <w:pPr>
              <w:pStyle w:val="BodyTextNoSpacing"/>
            </w:pPr>
            <w:r>
              <w:t>UK Power Networks</w:t>
            </w:r>
          </w:p>
        </w:tc>
        <w:tc>
          <w:tcPr>
            <w:tcW w:w="1871" w:type="dxa"/>
          </w:tcPr>
          <w:p w:rsidR="00800AE4" w:rsidRDefault="00800AE4" w:rsidP="00800AE4">
            <w:pPr>
              <w:pStyle w:val="BodyTextNoSpacing"/>
            </w:pPr>
            <w:r>
              <w:t>Non-confidential</w:t>
            </w:r>
          </w:p>
        </w:tc>
        <w:tc>
          <w:tcPr>
            <w:tcW w:w="10431" w:type="dxa"/>
          </w:tcPr>
          <w:p w:rsidR="00800AE4" w:rsidRPr="00102E5E" w:rsidRDefault="00800AE4" w:rsidP="00800AE4">
            <w:pPr>
              <w:pStyle w:val="BodyText"/>
            </w:pPr>
            <w:r>
              <w:t>We do not believe that any general objectives are better facilitated as a result of this change (either option 1 or 3).</w:t>
            </w:r>
          </w:p>
        </w:tc>
      </w:tr>
      <w:tr w:rsidR="00800AE4" w:rsidTr="00800AE4">
        <w:tc>
          <w:tcPr>
            <w:tcW w:w="1701" w:type="dxa"/>
          </w:tcPr>
          <w:p w:rsidR="00800AE4" w:rsidRDefault="00800AE4" w:rsidP="00800AE4">
            <w:pPr>
              <w:pStyle w:val="BodyTextNoSpacing"/>
            </w:pPr>
            <w:r>
              <w:lastRenderedPageBreak/>
              <w:t>Western Power Distribution</w:t>
            </w:r>
          </w:p>
        </w:tc>
        <w:tc>
          <w:tcPr>
            <w:tcW w:w="1871" w:type="dxa"/>
          </w:tcPr>
          <w:p w:rsidR="00800AE4" w:rsidRDefault="00800AE4" w:rsidP="00800AE4">
            <w:pPr>
              <w:pStyle w:val="BodyTextNoSpacing"/>
            </w:pPr>
            <w:r>
              <w:t>Non-confidential</w:t>
            </w:r>
          </w:p>
        </w:tc>
        <w:tc>
          <w:tcPr>
            <w:tcW w:w="10431" w:type="dxa"/>
          </w:tcPr>
          <w:p w:rsidR="00800AE4" w:rsidRPr="00800AE4" w:rsidRDefault="00800AE4" w:rsidP="00800AE4">
            <w:pPr>
              <w:pStyle w:val="ListNumber"/>
              <w:numPr>
                <w:ilvl w:val="0"/>
                <w:numId w:val="0"/>
              </w:numPr>
              <w:ind w:left="567"/>
            </w:pPr>
            <w:r>
              <w:t>1.</w:t>
            </w:r>
            <w:r w:rsidRPr="00800AE4">
              <w:t>The development, maintenance and operation by each of the DNO Parties and IDNO Parties of an efficient, co-ordinated, and economical Distribution System.</w:t>
            </w:r>
          </w:p>
          <w:p w:rsidR="00800AE4" w:rsidRDefault="00800AE4" w:rsidP="00800AE4">
            <w:pPr>
              <w:pStyle w:val="BodyText"/>
            </w:pPr>
            <w:r>
              <w:t>Option 1 better facilitates general objective 1 because it helps with the control of reactive power.</w:t>
            </w:r>
          </w:p>
          <w:p w:rsidR="00800AE4" w:rsidRDefault="00800AE4" w:rsidP="00800AE4">
            <w:pPr>
              <w:pStyle w:val="BodyText"/>
            </w:pPr>
            <w:r>
              <w:t>Option 3 worse facilitates general objective 1 because it does not with the control of reactive power.</w:t>
            </w:r>
          </w:p>
        </w:tc>
      </w:tr>
      <w:tr w:rsidR="00800AE4" w:rsidTr="00800AE4">
        <w:tc>
          <w:tcPr>
            <w:tcW w:w="1701" w:type="dxa"/>
          </w:tcPr>
          <w:p w:rsidR="00800AE4" w:rsidRDefault="00800AE4" w:rsidP="00800AE4">
            <w:pPr>
              <w:pStyle w:val="BodyTextNoSpacing"/>
            </w:pPr>
            <w:r>
              <w:t xml:space="preserve">Supplier1 </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
            </w:pPr>
            <w:r w:rsidRPr="00800AE4">
              <w:t>We do not believe either of the options can be shown to better facilitate any of the DCUSA General Objectives than the current baseline</w:t>
            </w:r>
          </w:p>
        </w:tc>
      </w:tr>
      <w:bookmarkEnd w:id="3"/>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872"/>
        <w:gridCol w:w="1700"/>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872" w:type="dxa"/>
          </w:tcPr>
          <w:p w:rsidR="00800AE4" w:rsidRDefault="00800AE4" w:rsidP="00800AE4">
            <w:pPr>
              <w:pStyle w:val="ColumnHeading"/>
            </w:pPr>
            <w:bookmarkStart w:id="4" w:name="dcusa_response5"/>
            <w:r>
              <w:t>Company</w:t>
            </w:r>
          </w:p>
        </w:tc>
        <w:tc>
          <w:tcPr>
            <w:tcW w:w="1700"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For each option (1 &amp; 3) which DCUSA Charging Objectives does the CP better facilitate? Please provide supporting comments.</w:t>
            </w:r>
          </w:p>
        </w:tc>
      </w:tr>
      <w:tr w:rsidR="00800AE4" w:rsidTr="00800AE4">
        <w:tc>
          <w:tcPr>
            <w:tcW w:w="1872" w:type="dxa"/>
          </w:tcPr>
          <w:p w:rsidR="00800AE4" w:rsidRDefault="00800AE4" w:rsidP="00800AE4">
            <w:pPr>
              <w:pStyle w:val="BodyTextNoSpacing"/>
            </w:pPr>
            <w:r>
              <w:t>Electricity North West</w:t>
            </w:r>
          </w:p>
        </w:tc>
        <w:tc>
          <w:tcPr>
            <w:tcW w:w="1700" w:type="dxa"/>
          </w:tcPr>
          <w:p w:rsidR="00800AE4" w:rsidRDefault="00800AE4" w:rsidP="00800AE4">
            <w:pPr>
              <w:pStyle w:val="BodyTextNoSpacing"/>
            </w:pPr>
            <w:r>
              <w:t>Non-confidential</w:t>
            </w:r>
          </w:p>
        </w:tc>
        <w:tc>
          <w:tcPr>
            <w:tcW w:w="10431" w:type="dxa"/>
          </w:tcPr>
          <w:p w:rsidR="00800AE4" w:rsidRDefault="00800AE4" w:rsidP="00800AE4">
            <w:pPr>
              <w:pStyle w:val="BodyText"/>
            </w:pPr>
            <w:r>
              <w:t>For Option 1:</w:t>
            </w:r>
          </w:p>
          <w:p w:rsidR="00800AE4" w:rsidRDefault="00800AE4" w:rsidP="00800AE4">
            <w:pPr>
              <w:pStyle w:val="BodyText"/>
            </w:pPr>
            <w:r>
              <w:t xml:space="preserve">We believe </w:t>
            </w:r>
            <w:r w:rsidRPr="004E3EDB">
              <w:t>the DCUSA charging objectives 1 and 3 are better facilitated by DCP 222</w:t>
            </w:r>
            <w:r>
              <w:t>.</w:t>
            </w:r>
          </w:p>
          <w:p w:rsidR="00800AE4" w:rsidRDefault="00800AE4" w:rsidP="00800AE4">
            <w:pPr>
              <w:pStyle w:val="BodyText"/>
            </w:pPr>
          </w:p>
          <w:p w:rsidR="00800AE4" w:rsidRDefault="00800AE4" w:rsidP="00800AE4">
            <w:pPr>
              <w:pStyle w:val="BodyText"/>
            </w:pPr>
            <w:r>
              <w:t>For Option 3:</w:t>
            </w:r>
          </w:p>
          <w:p w:rsidR="00800AE4" w:rsidRPr="007B24E4" w:rsidRDefault="00800AE4" w:rsidP="00800AE4">
            <w:pPr>
              <w:pStyle w:val="BodyTextNoSpacing"/>
              <w:rPr>
                <w:b/>
                <w:u w:val="single"/>
              </w:rPr>
            </w:pPr>
            <w:r w:rsidRPr="00681BE0">
              <w:t xml:space="preserve">We believe the DCUSA charging objective </w:t>
            </w:r>
            <w:r>
              <w:t xml:space="preserve">1 </w:t>
            </w:r>
            <w:r w:rsidRPr="00681BE0">
              <w:t>is better facilitated by DCP 222.</w:t>
            </w:r>
            <w:r>
              <w:t xml:space="preserve">  Option 3 would weaken the cost reflectivity of the CDCM model due to the removal of all Reactive Power charges.</w:t>
            </w:r>
          </w:p>
        </w:tc>
      </w:tr>
      <w:tr w:rsidR="00800AE4" w:rsidTr="00800AE4">
        <w:tc>
          <w:tcPr>
            <w:tcW w:w="1872" w:type="dxa"/>
          </w:tcPr>
          <w:p w:rsidR="00800AE4" w:rsidRDefault="00800AE4" w:rsidP="00800AE4">
            <w:pPr>
              <w:pStyle w:val="BodyTextNoSpacing"/>
            </w:pPr>
            <w:r>
              <w:t>Northern Powergrid on behalf of Northern Powergrid (Yorkshire) Plc and Northern Powergrid (Northeast) Ltd</w:t>
            </w:r>
          </w:p>
        </w:tc>
        <w:tc>
          <w:tcPr>
            <w:tcW w:w="1700" w:type="dxa"/>
          </w:tcPr>
          <w:p w:rsidR="00800AE4" w:rsidRDefault="00800AE4" w:rsidP="00800AE4">
            <w:pPr>
              <w:pStyle w:val="BodyTextNoSpacing"/>
            </w:pPr>
            <w:r>
              <w:t>Non-confidential</w:t>
            </w:r>
          </w:p>
        </w:tc>
        <w:tc>
          <w:tcPr>
            <w:tcW w:w="10431" w:type="dxa"/>
          </w:tcPr>
          <w:p w:rsidR="00800AE4" w:rsidRPr="00CA4BB6" w:rsidRDefault="00800AE4" w:rsidP="00800AE4">
            <w:pPr>
              <w:pStyle w:val="BodyText"/>
              <w:keepNext/>
            </w:pPr>
            <w:r w:rsidRPr="00CA4BB6">
              <w:t>Charging Objective One – That compliance by each DNO Party with the Charging Methodologies facilitates the discharge by the DNO Party of the obligations imposed on it under the Act and by its Distribution Licence.</w:t>
            </w:r>
          </w:p>
          <w:p w:rsidR="00800AE4" w:rsidRDefault="00800AE4" w:rsidP="00800AE4">
            <w:pPr>
              <w:pStyle w:val="BodyText"/>
            </w:pPr>
            <w:r w:rsidRPr="00CA4BB6">
              <w:t>A common methodology will result in consistency and also transparency of process.</w:t>
            </w:r>
            <w:r>
              <w:t xml:space="preserve"> However Option 1 may not be as transparent if year-on-year tariff changed are required.</w:t>
            </w:r>
          </w:p>
        </w:tc>
      </w:tr>
      <w:tr w:rsidR="00800AE4" w:rsidTr="00800AE4">
        <w:tc>
          <w:tcPr>
            <w:tcW w:w="1872" w:type="dxa"/>
          </w:tcPr>
          <w:p w:rsidR="00800AE4" w:rsidRDefault="00800AE4" w:rsidP="00800AE4">
            <w:pPr>
              <w:pStyle w:val="BodyTextNoSpacing"/>
            </w:pPr>
            <w:r>
              <w:lastRenderedPageBreak/>
              <w:t>Power Data Associates Ltd</w:t>
            </w:r>
          </w:p>
        </w:tc>
        <w:tc>
          <w:tcPr>
            <w:tcW w:w="1700" w:type="dxa"/>
          </w:tcPr>
          <w:p w:rsidR="00800AE4" w:rsidRDefault="00800AE4" w:rsidP="00800AE4">
            <w:pPr>
              <w:pStyle w:val="BodyTextNoSpacing"/>
            </w:pPr>
            <w:r>
              <w:t>Non-confidential</w:t>
            </w:r>
          </w:p>
        </w:tc>
        <w:tc>
          <w:tcPr>
            <w:tcW w:w="10431" w:type="dxa"/>
          </w:tcPr>
          <w:p w:rsidR="00800AE4" w:rsidRDefault="00800AE4" w:rsidP="00800AE4">
            <w:pPr>
              <w:pStyle w:val="BodyText"/>
              <w:keepNext/>
              <w:rPr>
                <w:rFonts w:ascii="Tahoma" w:hAnsi="Tahoma" w:cs="Tahoma"/>
                <w:color w:val="000000"/>
                <w:szCs w:val="20"/>
              </w:rPr>
            </w:pPr>
            <w:r>
              <w:t xml:space="preserve">Without a clear understanding of the problem that is seeking to be solved, it is not clear whether the solution meets the objectives.  </w:t>
            </w:r>
          </w:p>
        </w:tc>
      </w:tr>
      <w:tr w:rsidR="00800AE4" w:rsidTr="00800AE4">
        <w:tc>
          <w:tcPr>
            <w:tcW w:w="1872" w:type="dxa"/>
          </w:tcPr>
          <w:p w:rsidR="00800AE4" w:rsidRDefault="00800AE4" w:rsidP="00800AE4">
            <w:pPr>
              <w:pStyle w:val="BodyTextNoSpacing"/>
            </w:pPr>
            <w:r>
              <w:t>SmartestEnergy</w:t>
            </w:r>
          </w:p>
        </w:tc>
        <w:tc>
          <w:tcPr>
            <w:tcW w:w="1700" w:type="dxa"/>
          </w:tcPr>
          <w:p w:rsidR="00800AE4" w:rsidRDefault="00800AE4" w:rsidP="00800AE4">
            <w:pPr>
              <w:pStyle w:val="BodyTextNoSpacing"/>
            </w:pPr>
            <w:r>
              <w:t>Non-confidential</w:t>
            </w:r>
          </w:p>
        </w:tc>
        <w:tc>
          <w:tcPr>
            <w:tcW w:w="10431" w:type="dxa"/>
          </w:tcPr>
          <w:p w:rsidR="00800AE4" w:rsidRDefault="00800AE4" w:rsidP="00800AE4">
            <w:pPr>
              <w:pStyle w:val="BodyText"/>
            </w:pPr>
            <w:r>
              <w:t>Option1: Better facilitates DCUSA charging objectives 3</w:t>
            </w:r>
          </w:p>
          <w:p w:rsidR="00800AE4" w:rsidRDefault="00800AE4" w:rsidP="00800AE4">
            <w:pPr>
              <w:pStyle w:val="BodyText"/>
              <w:keepNext/>
            </w:pPr>
            <w:r>
              <w:t>Option3: Better facilitates DCUSA charging objectives 1, 3</w:t>
            </w:r>
          </w:p>
        </w:tc>
      </w:tr>
      <w:tr w:rsidR="00800AE4" w:rsidTr="00800AE4">
        <w:tc>
          <w:tcPr>
            <w:tcW w:w="1872" w:type="dxa"/>
          </w:tcPr>
          <w:p w:rsidR="00800AE4" w:rsidRDefault="00800AE4" w:rsidP="00800AE4">
            <w:pPr>
              <w:pStyle w:val="BodyTextNoSpacing"/>
            </w:pPr>
            <w:r>
              <w:t>Southern Electric Power Distribution plc and Scottish Hydro Electric Power Distribution plc</w:t>
            </w:r>
          </w:p>
        </w:tc>
        <w:tc>
          <w:tcPr>
            <w:tcW w:w="1700"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rsidRPr="007B24E4">
              <w:rPr>
                <w:b/>
                <w:u w:val="single"/>
              </w:rPr>
              <w:t>Option</w:t>
            </w:r>
            <w:r>
              <w:rPr>
                <w:b/>
                <w:u w:val="single"/>
              </w:rPr>
              <w:t>s</w:t>
            </w:r>
            <w:r w:rsidRPr="007B24E4">
              <w:rPr>
                <w:b/>
                <w:u w:val="single"/>
              </w:rPr>
              <w:t xml:space="preserve"> 1</w:t>
            </w:r>
            <w:r>
              <w:rPr>
                <w:b/>
                <w:u w:val="single"/>
              </w:rPr>
              <w:t xml:space="preserve"> &amp; 3</w:t>
            </w:r>
            <w:r>
              <w:t xml:space="preserve"> – </w:t>
            </w:r>
            <w:r w:rsidRPr="007B24E4">
              <w:t>We</w:t>
            </w:r>
            <w:r>
              <w:t xml:space="preserve"> would argue both options are contrary to efficient charging arrangements (for reasons specified previously) and therefore</w:t>
            </w:r>
            <w:r w:rsidRPr="007B24E4">
              <w:t xml:space="preserve"> do not </w:t>
            </w:r>
            <w:r>
              <w:t>believe</w:t>
            </w:r>
            <w:r w:rsidRPr="007B24E4">
              <w:t xml:space="preserve"> </w:t>
            </w:r>
            <w:r>
              <w:t xml:space="preserve">the </w:t>
            </w:r>
            <w:r w:rsidRPr="007B24E4">
              <w:t xml:space="preserve">DCUSA </w:t>
            </w:r>
            <w:r>
              <w:t xml:space="preserve">Charging Objectives are better facilitated.   </w:t>
            </w:r>
          </w:p>
        </w:tc>
      </w:tr>
      <w:tr w:rsidR="00800AE4" w:rsidTr="00800AE4">
        <w:tc>
          <w:tcPr>
            <w:tcW w:w="1872" w:type="dxa"/>
          </w:tcPr>
          <w:p w:rsidR="00800AE4" w:rsidRDefault="00800AE4" w:rsidP="00800AE4">
            <w:pPr>
              <w:pStyle w:val="BodyTextNoSpacing"/>
            </w:pPr>
            <w:r>
              <w:t xml:space="preserve">SP Distribution / SP </w:t>
            </w:r>
            <w:proofErr w:type="spellStart"/>
            <w:r>
              <w:t>Manweb</w:t>
            </w:r>
            <w:proofErr w:type="spellEnd"/>
          </w:p>
        </w:tc>
        <w:tc>
          <w:tcPr>
            <w:tcW w:w="1700" w:type="dxa"/>
          </w:tcPr>
          <w:p w:rsidR="00800AE4" w:rsidRDefault="00800AE4" w:rsidP="00800AE4">
            <w:pPr>
              <w:pStyle w:val="BodyTextNoSpacing"/>
            </w:pPr>
            <w:r>
              <w:t>Non-confidential</w:t>
            </w:r>
          </w:p>
        </w:tc>
        <w:tc>
          <w:tcPr>
            <w:tcW w:w="10431" w:type="dxa"/>
          </w:tcPr>
          <w:p w:rsidR="00800AE4" w:rsidRDefault="00800AE4" w:rsidP="00800AE4">
            <w:pPr>
              <w:pStyle w:val="BodyText"/>
            </w:pPr>
            <w:r>
              <w:t>We agree with the working group that DCUSA Charging Objective 1 is better facilitated for each option.</w:t>
            </w:r>
          </w:p>
        </w:tc>
      </w:tr>
      <w:tr w:rsidR="00800AE4" w:rsidTr="00800AE4">
        <w:tc>
          <w:tcPr>
            <w:tcW w:w="1872" w:type="dxa"/>
          </w:tcPr>
          <w:p w:rsidR="00800AE4" w:rsidRDefault="00800AE4" w:rsidP="00800AE4">
            <w:pPr>
              <w:pStyle w:val="BodyTextNoSpacing"/>
            </w:pPr>
            <w:r>
              <w:t>SSE Energy Supply</w:t>
            </w:r>
          </w:p>
        </w:tc>
        <w:tc>
          <w:tcPr>
            <w:tcW w:w="1700" w:type="dxa"/>
          </w:tcPr>
          <w:p w:rsidR="00800AE4" w:rsidRDefault="00800AE4" w:rsidP="00800AE4">
            <w:pPr>
              <w:pStyle w:val="BodyTextNoSpacing"/>
            </w:pPr>
            <w:r>
              <w:t>Non-confidential</w:t>
            </w:r>
          </w:p>
        </w:tc>
        <w:tc>
          <w:tcPr>
            <w:tcW w:w="10431" w:type="dxa"/>
          </w:tcPr>
          <w:p w:rsidR="00800AE4" w:rsidRDefault="00800AE4" w:rsidP="00800AE4">
            <w:pPr>
              <w:pStyle w:val="BodyText"/>
            </w:pPr>
            <w:r w:rsidRPr="006F1080">
              <w:t xml:space="preserve">We believe Option 1 and 3 better facilitates DCUSA </w:t>
            </w:r>
            <w:r>
              <w:t>Charging Objective 1.</w:t>
            </w:r>
          </w:p>
        </w:tc>
      </w:tr>
      <w:tr w:rsidR="00800AE4" w:rsidTr="00800AE4">
        <w:tc>
          <w:tcPr>
            <w:tcW w:w="1872" w:type="dxa"/>
          </w:tcPr>
          <w:p w:rsidR="00800AE4" w:rsidRDefault="00800AE4" w:rsidP="00800AE4">
            <w:pPr>
              <w:pStyle w:val="BodyTextNoSpacing"/>
            </w:pPr>
            <w:r>
              <w:t>The Electricity Network Company</w:t>
            </w:r>
          </w:p>
        </w:tc>
        <w:tc>
          <w:tcPr>
            <w:tcW w:w="1700" w:type="dxa"/>
          </w:tcPr>
          <w:p w:rsidR="00800AE4" w:rsidRDefault="00800AE4" w:rsidP="00800AE4">
            <w:pPr>
              <w:pStyle w:val="BodyTextNoSpacing"/>
            </w:pPr>
            <w:r>
              <w:t>Non-confidential</w:t>
            </w:r>
          </w:p>
        </w:tc>
        <w:tc>
          <w:tcPr>
            <w:tcW w:w="10431" w:type="dxa"/>
          </w:tcPr>
          <w:p w:rsidR="00800AE4" w:rsidRDefault="00800AE4" w:rsidP="00800AE4">
            <w:pPr>
              <w:pStyle w:val="BodyText"/>
            </w:pPr>
            <w:r>
              <w:t>In the current form we believe that, for the reasons we have stated in the second and third paragraphs or our response to question 4, the 1</w:t>
            </w:r>
            <w:r w:rsidRPr="00E7219C">
              <w:rPr>
                <w:vertAlign w:val="superscript"/>
              </w:rPr>
              <w:t>st</w:t>
            </w:r>
            <w:r>
              <w:t xml:space="preserve"> and 2</w:t>
            </w:r>
            <w:r w:rsidRPr="00E7219C">
              <w:rPr>
                <w:vertAlign w:val="superscript"/>
              </w:rPr>
              <w:t>nd</w:t>
            </w:r>
            <w:r>
              <w:t xml:space="preserve"> DCUSA Charging Objectives will be adversely impacted by option 1.</w:t>
            </w:r>
          </w:p>
          <w:p w:rsidR="00800AE4" w:rsidRDefault="00800AE4" w:rsidP="00800AE4">
            <w:pPr>
              <w:pStyle w:val="BodyText"/>
            </w:pPr>
            <w:r>
              <w:t>We believe that the impact on the 3</w:t>
            </w:r>
            <w:r w:rsidRPr="00E7219C">
              <w:rPr>
                <w:vertAlign w:val="superscript"/>
              </w:rPr>
              <w:t>rd</w:t>
            </w:r>
            <w:r>
              <w:t xml:space="preserve"> Charging Objective is negative for both solutions but particularly option 3. Currently the costs for excess reactive power are charged on the basis that it reflects costs which the distribution business incurs in managing the s</w:t>
            </w:r>
            <w:r w:rsidRPr="00102E5E">
              <w:t>ystem. However, by the managing the distribution system more efficiently and allowing generators to operate at a power factor below 0.95 some of the costs in managing the</w:t>
            </w:r>
            <w:r>
              <w:t xml:space="preserve"> system will not be incurred. Although it is correct that these costs should then not be charged to the generator it does not appear to be cost reflective to socialise the recovery of these costs across the whole network. </w:t>
            </w:r>
          </w:p>
          <w:p w:rsidR="00800AE4" w:rsidRDefault="00800AE4" w:rsidP="00800AE4">
            <w:pPr>
              <w:pStyle w:val="BodyText"/>
            </w:pPr>
            <w:r>
              <w:lastRenderedPageBreak/>
              <w:t xml:space="preserve">We do not believe that Charging Objectives 4 and 5 are impacted by either solution </w:t>
            </w:r>
          </w:p>
          <w:p w:rsidR="00800AE4" w:rsidRPr="006F1080" w:rsidRDefault="00800AE4" w:rsidP="00800AE4">
            <w:pPr>
              <w:pStyle w:val="BodyText"/>
            </w:pPr>
          </w:p>
        </w:tc>
      </w:tr>
      <w:tr w:rsidR="00800AE4" w:rsidTr="00800AE4">
        <w:tc>
          <w:tcPr>
            <w:tcW w:w="1872" w:type="dxa"/>
          </w:tcPr>
          <w:p w:rsidR="00800AE4" w:rsidRDefault="00800AE4" w:rsidP="00800AE4">
            <w:pPr>
              <w:pStyle w:val="BodyTextNoSpacing"/>
            </w:pPr>
            <w:r>
              <w:lastRenderedPageBreak/>
              <w:t>UK Power Networks</w:t>
            </w:r>
          </w:p>
        </w:tc>
        <w:tc>
          <w:tcPr>
            <w:tcW w:w="1700" w:type="dxa"/>
          </w:tcPr>
          <w:p w:rsidR="00800AE4" w:rsidRDefault="00800AE4" w:rsidP="00800AE4">
            <w:pPr>
              <w:pStyle w:val="BodyTextNoSpacing"/>
            </w:pPr>
            <w:r>
              <w:t>Non-confidential</w:t>
            </w:r>
          </w:p>
        </w:tc>
        <w:tc>
          <w:tcPr>
            <w:tcW w:w="10431" w:type="dxa"/>
          </w:tcPr>
          <w:p w:rsidR="00800AE4" w:rsidRDefault="00800AE4" w:rsidP="00800AE4">
            <w:pPr>
              <w:pStyle w:val="BodyText"/>
            </w:pPr>
            <w:r>
              <w:t>We do not believe that any charging objectives are better facilitated as a result of this change (either option 1 or 3).</w:t>
            </w:r>
          </w:p>
        </w:tc>
      </w:tr>
      <w:tr w:rsidR="00800AE4" w:rsidTr="00800AE4">
        <w:tc>
          <w:tcPr>
            <w:tcW w:w="1872" w:type="dxa"/>
          </w:tcPr>
          <w:p w:rsidR="00800AE4" w:rsidRDefault="00800AE4" w:rsidP="00800AE4">
            <w:pPr>
              <w:pStyle w:val="BodyTextNoSpacing"/>
            </w:pPr>
            <w:r>
              <w:t>Western Power Distribution</w:t>
            </w:r>
          </w:p>
        </w:tc>
        <w:tc>
          <w:tcPr>
            <w:tcW w:w="1700" w:type="dxa"/>
          </w:tcPr>
          <w:p w:rsidR="00800AE4" w:rsidRDefault="00800AE4" w:rsidP="00800AE4">
            <w:pPr>
              <w:pStyle w:val="BodyTextNoSpacing"/>
            </w:pPr>
            <w:r>
              <w:t>Non-confidential</w:t>
            </w:r>
          </w:p>
        </w:tc>
        <w:tc>
          <w:tcPr>
            <w:tcW w:w="10431" w:type="dxa"/>
          </w:tcPr>
          <w:p w:rsidR="00800AE4" w:rsidRPr="00800AE4" w:rsidRDefault="00800AE4" w:rsidP="00800AE4">
            <w:pPr>
              <w:pStyle w:val="ListNumber"/>
              <w:numPr>
                <w:ilvl w:val="0"/>
                <w:numId w:val="0"/>
              </w:numPr>
              <w:ind w:left="567"/>
            </w:pPr>
            <w:r>
              <w:t>3.</w:t>
            </w:r>
            <w:r w:rsidRPr="00800AE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800AE4" w:rsidRDefault="00800AE4" w:rsidP="00800AE4">
            <w:pPr>
              <w:pStyle w:val="BodyText"/>
            </w:pPr>
            <w:r>
              <w:t>Option 1 better facilitates charging objective 3 because it better reflects the costs of the network.</w:t>
            </w:r>
          </w:p>
        </w:tc>
      </w:tr>
      <w:tr w:rsidR="00800AE4" w:rsidRPr="00CA4BB6" w:rsidTr="00800AE4">
        <w:tc>
          <w:tcPr>
            <w:tcW w:w="1872" w:type="dxa"/>
          </w:tcPr>
          <w:p w:rsidR="00800AE4" w:rsidRDefault="00800AE4" w:rsidP="00800AE4">
            <w:pPr>
              <w:pStyle w:val="BodyTextNoSpacing"/>
            </w:pPr>
            <w:r>
              <w:t>Supplier 1</w:t>
            </w:r>
          </w:p>
        </w:tc>
        <w:tc>
          <w:tcPr>
            <w:tcW w:w="1700" w:type="dxa"/>
          </w:tcPr>
          <w:p w:rsidR="00800AE4" w:rsidRDefault="00800AE4" w:rsidP="00800AE4">
            <w:pPr>
              <w:pStyle w:val="BodyTextNoSpacing"/>
            </w:pPr>
            <w:r>
              <w:t>Anonymous</w:t>
            </w:r>
          </w:p>
        </w:tc>
        <w:tc>
          <w:tcPr>
            <w:tcW w:w="10431" w:type="dxa"/>
          </w:tcPr>
          <w:p w:rsidR="00800AE4" w:rsidRPr="00800AE4" w:rsidRDefault="00800AE4" w:rsidP="00800AE4">
            <w:pPr>
              <w:pStyle w:val="BodyText"/>
              <w:keepNext/>
              <w:rPr>
                <w:rFonts w:ascii="Calibri" w:hAnsi="Calibri"/>
                <w:sz w:val="24"/>
              </w:rPr>
            </w:pPr>
            <w:r w:rsidRPr="00800AE4">
              <w:rPr>
                <w:rFonts w:ascii="Calibri" w:hAnsi="Calibri" w:cs="Tahoma"/>
                <w:color w:val="000000"/>
                <w:sz w:val="24"/>
              </w:rPr>
              <w:t>We do not believe either of the options can be shown to better facilitate any of the DCUSA Charging Objectives than the current baseline.</w:t>
            </w:r>
          </w:p>
        </w:tc>
      </w:tr>
      <w:bookmarkEnd w:id="4"/>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5" w:name="dcusa_response6"/>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Is your preference for Options 1or 3? (The Working Group has at this time discounted Option 2). Please provide reasons.</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Our preference is for Option 1, Option 3 removes the Reactive Power charges entirely which would weaken the cost reflectivity of the model, and could influence generators to behave in a manner which would be against the efficient running of the distribution network.</w:t>
            </w:r>
          </w:p>
        </w:tc>
      </w:tr>
      <w:tr w:rsidR="00800AE4" w:rsidTr="00800AE4">
        <w:tc>
          <w:tcPr>
            <w:tcW w:w="1701" w:type="dxa"/>
          </w:tcPr>
          <w:p w:rsidR="00800AE4" w:rsidRDefault="00800AE4" w:rsidP="00800AE4">
            <w:pPr>
              <w:pStyle w:val="BodyTextNoSpacing"/>
            </w:pPr>
            <w:r>
              <w:t xml:space="preserve">Northern Powergrid on behalf of Northern Powergrid (Yorkshire) Plc and Northern Powergrid </w:t>
            </w:r>
            <w:r>
              <w:lastRenderedPageBreak/>
              <w:t>(Northeast) Ltd</w:t>
            </w:r>
          </w:p>
        </w:tc>
        <w:tc>
          <w:tcPr>
            <w:tcW w:w="1871" w:type="dxa"/>
          </w:tcPr>
          <w:p w:rsidR="00800AE4" w:rsidRDefault="00800AE4" w:rsidP="00800AE4">
            <w:pPr>
              <w:pStyle w:val="BodyTextNoSpacing"/>
            </w:pPr>
            <w:r>
              <w:lastRenderedPageBreak/>
              <w:t>Non-confidential</w:t>
            </w:r>
          </w:p>
        </w:tc>
        <w:tc>
          <w:tcPr>
            <w:tcW w:w="10431" w:type="dxa"/>
          </w:tcPr>
          <w:p w:rsidR="00800AE4" w:rsidRDefault="00800AE4" w:rsidP="00800AE4">
            <w:pPr>
              <w:pStyle w:val="BodyTextNoSpacing"/>
            </w:pPr>
            <w:r>
              <w:t>Our preference would be for Option 3 as it would be simpler to implement and bring CDCM generators more in line with EDCM generators.</w:t>
            </w:r>
          </w:p>
        </w:tc>
      </w:tr>
      <w:tr w:rsidR="00800AE4" w:rsidTr="00800AE4">
        <w:tc>
          <w:tcPr>
            <w:tcW w:w="1701" w:type="dxa"/>
          </w:tcPr>
          <w:p w:rsidR="00800AE4" w:rsidRDefault="00800AE4" w:rsidP="00800AE4">
            <w:pPr>
              <w:pStyle w:val="BodyTextNoSpacing"/>
            </w:pPr>
            <w:r>
              <w:lastRenderedPageBreak/>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It could be argued that option 3 makes EDCM &amp; CDCM align – which is probably currently an inconsistent approach and should be rectified irrespective of this DCP.</w:t>
            </w:r>
          </w:p>
          <w:p w:rsidR="00800AE4" w:rsidRDefault="00800AE4" w:rsidP="00800AE4">
            <w:pPr>
              <w:pStyle w:val="BodyText"/>
            </w:pPr>
            <w:r>
              <w:t>However, option 3 results in generator customers gaining a benefit by removal of reactive charges which the import customers do not.  In the extreme, the import customer, on the same physical connection, would be liable to reactive charges but the export customer is not.  It is not clear why such a charging approach correctly/fairly reflects the costs of using a distribution network.</w:t>
            </w:r>
          </w:p>
          <w:p w:rsidR="00800AE4" w:rsidRDefault="00800AE4" w:rsidP="00800AE4">
            <w:pPr>
              <w:pStyle w:val="BodyText"/>
            </w:pPr>
            <w:r>
              <w:t>Has the workgroup considered removal of all excess reactive power charges for HV connected customers, import and export?  The impact of poor power factor on HV sites is substantially less than LV connected customers.</w:t>
            </w:r>
          </w:p>
          <w:p w:rsidR="00800AE4" w:rsidRDefault="00800AE4" w:rsidP="00800AE4">
            <w:pPr>
              <w:pStyle w:val="BodyTextNoSpacing"/>
            </w:pPr>
            <w:r>
              <w:t>The indication of the problem that NG are encountering is the power factor at the Distributor/NG boundary has improved, and they would actually like to see a poorer power factor.  In which case moving the industry towards a 0.9 (rather than 0.95) power factor may be a fair and equitable approach.  Although without NG being explicit about the problem it is impossible to progress.</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Option 3. The difficulties surrounding option 1 were clearly set out following the original consultation (inability to input tariffs with time sensitivities and socialisation of under-recovered revenues). Option 3 addresses the issues.</w:t>
            </w: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We do not support either of Options 1 or 3.</w:t>
            </w:r>
          </w:p>
        </w:tc>
      </w:tr>
      <w:tr w:rsidR="00800AE4" w:rsidTr="00800AE4">
        <w:tc>
          <w:tcPr>
            <w:tcW w:w="1701" w:type="dxa"/>
          </w:tcPr>
          <w:p w:rsidR="00800AE4" w:rsidRDefault="00800AE4" w:rsidP="00800AE4">
            <w:pPr>
              <w:pStyle w:val="BodyTextNoSpacing"/>
            </w:pPr>
            <w:r>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Option 1 as this allows for any generators that have been asked by the DNO to operate outside a 0.95 PF not to receive excess reactive charges.</w:t>
            </w:r>
          </w:p>
        </w:tc>
      </w:tr>
      <w:tr w:rsidR="00800AE4" w:rsidTr="00800AE4">
        <w:tc>
          <w:tcPr>
            <w:tcW w:w="1701" w:type="dxa"/>
          </w:tcPr>
          <w:p w:rsidR="00800AE4" w:rsidRDefault="00800AE4" w:rsidP="00800AE4">
            <w:pPr>
              <w:pStyle w:val="BodyTextNoSpacing"/>
            </w:pPr>
            <w:r>
              <w:lastRenderedPageBreak/>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We support either option but have a preference for Option 1.</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At this stage we cannot provide a preference but option 3 has less impact on the relevant objectives.</w:t>
            </w:r>
          </w:p>
        </w:tc>
      </w:tr>
      <w:tr w:rsidR="00800AE4" w:rsidTr="00800AE4">
        <w:tc>
          <w:tcPr>
            <w:tcW w:w="1701" w:type="dxa"/>
          </w:tcPr>
          <w:p w:rsidR="00800AE4" w:rsidRDefault="00800AE4" w:rsidP="00800AE4">
            <w:pPr>
              <w:pStyle w:val="BodyTextNoSpacing"/>
            </w:pPr>
            <w:r>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Option 1 will continue to provide a signal to generators to operate at or near unity.</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Our preference is for Option 1 because as mentioned in the answer to question 3 if option 3 were to be applied then there will be less reason for generators to control their power factors. This could have adverse effects on the network.</w:t>
            </w:r>
          </w:p>
        </w:tc>
      </w:tr>
      <w:tr w:rsidR="00800AE4" w:rsidTr="00800AE4">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NoSpacing"/>
            </w:pPr>
            <w:r>
              <w:t>Whilst we do not support either option, if any were to be taken forward we consider option 3 (removal of reactive charges from all generators) to be the least detrimental, due to the simplicity of implementation (reduced admin) and the removal of the option to ‘game’ between tariffs as the removal of reactive power charges would apply to all.</w:t>
            </w:r>
          </w:p>
        </w:tc>
      </w:tr>
      <w:bookmarkEnd w:id="5"/>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6" w:name="dcusa_response7"/>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Do you believe there are any implementation issues with either option 1 or 3?</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Option 1 would require new LLFCs to be set-up.  This would require some advanced notice to ensure this could be done in line with MDD timetables.</w:t>
            </w:r>
          </w:p>
        </w:tc>
      </w:tr>
      <w:tr w:rsidR="00800AE4" w:rsidTr="00800AE4">
        <w:tc>
          <w:tcPr>
            <w:tcW w:w="1701" w:type="dxa"/>
          </w:tcPr>
          <w:p w:rsidR="00800AE4" w:rsidRDefault="00800AE4" w:rsidP="00800AE4">
            <w:pPr>
              <w:pStyle w:val="BodyTextNoSpacing"/>
            </w:pPr>
            <w:r>
              <w:t xml:space="preserve">Northern Powergrid on behalf of Northern Powergrid (Yorkshire) Plc and Northern Powergrid </w:t>
            </w:r>
            <w:r>
              <w:lastRenderedPageBreak/>
              <w:t>(Northeast) Ltd</w:t>
            </w:r>
          </w:p>
        </w:tc>
        <w:tc>
          <w:tcPr>
            <w:tcW w:w="1871" w:type="dxa"/>
          </w:tcPr>
          <w:p w:rsidR="00800AE4" w:rsidRDefault="00800AE4" w:rsidP="00800AE4">
            <w:pPr>
              <w:pStyle w:val="BodyTextNoSpacing"/>
            </w:pPr>
            <w:r>
              <w:lastRenderedPageBreak/>
              <w:t>Non-confidential</w:t>
            </w:r>
          </w:p>
        </w:tc>
        <w:tc>
          <w:tcPr>
            <w:tcW w:w="10431" w:type="dxa"/>
          </w:tcPr>
          <w:p w:rsidR="00800AE4" w:rsidRDefault="00800AE4" w:rsidP="00800AE4">
            <w:pPr>
              <w:pStyle w:val="BodyTextNoSpacing"/>
            </w:pPr>
            <w:r w:rsidRPr="00CA4BB6">
              <w:t xml:space="preserve">Option 1 creates an additional level of complexity </w:t>
            </w:r>
            <w:r>
              <w:t>in</w:t>
            </w:r>
            <w:r w:rsidRPr="00CA4BB6">
              <w:t xml:space="preserve"> the CDCM by creating new tariffs</w:t>
            </w:r>
            <w:r>
              <w:t>.</w:t>
            </w:r>
            <w:r w:rsidRPr="00CA4BB6">
              <w:t xml:space="preserve"> </w:t>
            </w:r>
            <w:r>
              <w:t>T</w:t>
            </w:r>
            <w:r w:rsidRPr="00CA4BB6">
              <w:t xml:space="preserve">here will also be new LLFCs created and it may be necessary to migrate a generation customer between LLFCs year-on-year dependent on the best view of the </w:t>
            </w:r>
            <w:r>
              <w:t>DNO</w:t>
            </w:r>
            <w:r w:rsidRPr="00CA4BB6">
              <w:t xml:space="preserve"> and what the reactive power requirements will be 15 months hence as we now publish tariffs with 15 months’ notice.</w:t>
            </w:r>
          </w:p>
        </w:tc>
      </w:tr>
      <w:tr w:rsidR="00800AE4" w:rsidTr="00800AE4">
        <w:tc>
          <w:tcPr>
            <w:tcW w:w="1701" w:type="dxa"/>
          </w:tcPr>
          <w:p w:rsidR="00800AE4" w:rsidRDefault="00800AE4" w:rsidP="00800AE4">
            <w:pPr>
              <w:pStyle w:val="BodyTextNoSpacing"/>
            </w:pPr>
            <w:r>
              <w:lastRenderedPageBreak/>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On the face of it removing charges is simple implementation in option 3.  Is that going to lead to a consequential change in the BSC to ‘undo’ the excessive and costly additional metering costs which were only implemented to facilitate DUoS billing?</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No</w:t>
            </w: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 xml:space="preserve">Option 1 would burden distributors with an additional level of complexity. It could potentially open up considerable scope for misapplication of tariffs, erroneous claims for tariff changes, withdrawal of legitimate charges and other areas of dispute. </w:t>
            </w:r>
          </w:p>
        </w:tc>
      </w:tr>
      <w:tr w:rsidR="00800AE4" w:rsidTr="00800AE4">
        <w:tc>
          <w:tcPr>
            <w:tcW w:w="1701" w:type="dxa"/>
          </w:tcPr>
          <w:p w:rsidR="00800AE4" w:rsidRDefault="00800AE4" w:rsidP="00800AE4">
            <w:pPr>
              <w:pStyle w:val="BodyTextNoSpacing"/>
            </w:pPr>
            <w:r>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None from a billing perspective.</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No</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We do not foresee any issues as long as the change to charging is communicated effectively with generators.</w:t>
            </w:r>
          </w:p>
        </w:tc>
      </w:tr>
      <w:tr w:rsidR="00800AE4" w:rsidTr="00800AE4">
        <w:tc>
          <w:tcPr>
            <w:tcW w:w="1701" w:type="dxa"/>
          </w:tcPr>
          <w:p w:rsidR="00800AE4" w:rsidRDefault="00800AE4" w:rsidP="00800AE4">
            <w:pPr>
              <w:pStyle w:val="BodyTextNoSpacing"/>
            </w:pPr>
            <w:r>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Option 1 could result in year on year changes to customers charging arrangements. These changes could cause confusion to both Suppliers and Customers potentially increasing both risks and costs.</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None</w:t>
            </w:r>
          </w:p>
        </w:tc>
      </w:tr>
      <w:tr w:rsidR="00800AE4" w:rsidTr="00800AE4">
        <w:tc>
          <w:tcPr>
            <w:tcW w:w="1701" w:type="dxa"/>
          </w:tcPr>
          <w:p w:rsidR="00800AE4" w:rsidRDefault="00800AE4" w:rsidP="00800AE4">
            <w:pPr>
              <w:pStyle w:val="BodyTextNoSpacing"/>
            </w:pPr>
            <w:r>
              <w:lastRenderedPageBreak/>
              <w:t>Supplier 1</w:t>
            </w:r>
          </w:p>
        </w:tc>
        <w:tc>
          <w:tcPr>
            <w:tcW w:w="1871" w:type="dxa"/>
          </w:tcPr>
          <w:p w:rsidR="00800AE4" w:rsidRDefault="00800AE4" w:rsidP="00800AE4">
            <w:pPr>
              <w:pStyle w:val="BodyTextNoSpacing"/>
            </w:pPr>
            <w:r>
              <w:t>Anonymous</w:t>
            </w:r>
          </w:p>
        </w:tc>
        <w:tc>
          <w:tcPr>
            <w:tcW w:w="10431" w:type="dxa"/>
          </w:tcPr>
          <w:p w:rsidR="00800AE4" w:rsidRPr="00CA4BB6" w:rsidRDefault="00800AE4" w:rsidP="00800AE4">
            <w:pPr>
              <w:pStyle w:val="BodyTextNoSpacing"/>
            </w:pPr>
            <w:r>
              <w:t xml:space="preserve">Option 1 would require additional records to be kept relating to sites requested to act at low PF to ensure the appropriate tariff were applied to each site for each year. </w:t>
            </w:r>
          </w:p>
        </w:tc>
      </w:tr>
      <w:bookmarkEnd w:id="6"/>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7" w:name="dcusa_response8"/>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Which option do you believe is more reflective of the costs incurred by a DNO of allowing a generator to operate outside the 0.95 power factor?</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Option 1.</w:t>
            </w:r>
          </w:p>
        </w:tc>
      </w:tr>
      <w:tr w:rsidR="00800AE4" w:rsidTr="00800AE4">
        <w:tc>
          <w:tcPr>
            <w:tcW w:w="1701" w:type="dxa"/>
          </w:tcPr>
          <w:p w:rsidR="00800AE4" w:rsidRDefault="00800AE4" w:rsidP="00800AE4">
            <w:pPr>
              <w:pStyle w:val="BodyTextNoSpacing"/>
            </w:pPr>
            <w:r>
              <w:t>Northern Powergrid on behalf of Northern Powergrid (Yorkshire) Plc and Northern Powergrid (Northeast)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It is difficult to say which option is more cost reflective as the values recovered could be classed as insignificant, therefore it may be more appropriate to recover these costs through other elements of the charge.</w:t>
            </w:r>
          </w:p>
        </w:tc>
      </w:tr>
      <w:tr w:rsidR="00800AE4" w:rsidTr="00800AE4">
        <w:tc>
          <w:tcPr>
            <w:tcW w:w="1701" w:type="dxa"/>
          </w:tcPr>
          <w:p w:rsidR="00800AE4" w:rsidRDefault="00800AE4" w:rsidP="00800AE4">
            <w:pPr>
              <w:pStyle w:val="BodyTextNoSpacing"/>
            </w:pPr>
            <w:r>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It is not clear why the DCP is indicating to allow only generators to operate outside 0.95 power factor.  It is discriminatory to all import customers who are not able to operate at a lower power factor without incurring excess reactive power charges.</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Whilst option 1 is probably more reflective of costs incurred by the DNO, option 3 is the better option owing to its ease of use and the fact that it will help DNOs lower their costs through the wider system benefits it brings.</w:t>
            </w:r>
          </w:p>
        </w:tc>
      </w:tr>
      <w:tr w:rsidR="00800AE4" w:rsidTr="00800AE4">
        <w:tc>
          <w:tcPr>
            <w:tcW w:w="1701" w:type="dxa"/>
          </w:tcPr>
          <w:p w:rsidR="00800AE4" w:rsidRDefault="00800AE4" w:rsidP="00800AE4">
            <w:pPr>
              <w:pStyle w:val="BodyTextNoSpacing"/>
            </w:pPr>
            <w:r>
              <w:t xml:space="preserve">Southern Electric Power Distribution plc and Scottish Hydro Electric Power </w:t>
            </w:r>
            <w:r>
              <w:lastRenderedPageBreak/>
              <w:t>Distribution plc</w:t>
            </w:r>
          </w:p>
        </w:tc>
        <w:tc>
          <w:tcPr>
            <w:tcW w:w="1871" w:type="dxa"/>
          </w:tcPr>
          <w:p w:rsidR="00800AE4" w:rsidRDefault="00800AE4" w:rsidP="00800AE4">
            <w:pPr>
              <w:pStyle w:val="BodyTextNoSpacing"/>
            </w:pPr>
            <w:r>
              <w:lastRenderedPageBreak/>
              <w:t>Non-confidential</w:t>
            </w:r>
          </w:p>
        </w:tc>
        <w:tc>
          <w:tcPr>
            <w:tcW w:w="10431" w:type="dxa"/>
          </w:tcPr>
          <w:p w:rsidR="00800AE4" w:rsidRDefault="00800AE4" w:rsidP="00800AE4">
            <w:pPr>
              <w:pStyle w:val="BodyTextNoSpacing"/>
            </w:pPr>
            <w:r>
              <w:t xml:space="preserve">We don’t support either option; but Option 1 might be the more cost reflective of the two. Primarily as the principle of charging excess reactive power will remain for those generators not asked to operate outside the 0.95 power factor thereby the costs imposed on the DNO would continue to be reflected in the CDCM.  </w:t>
            </w:r>
          </w:p>
        </w:tc>
      </w:tr>
      <w:tr w:rsidR="00800AE4" w:rsidTr="00800AE4">
        <w:tc>
          <w:tcPr>
            <w:tcW w:w="1701" w:type="dxa"/>
          </w:tcPr>
          <w:p w:rsidR="00800AE4" w:rsidRDefault="00800AE4" w:rsidP="00800AE4">
            <w:pPr>
              <w:pStyle w:val="BodyTextNoSpacing"/>
            </w:pPr>
            <w:r>
              <w:lastRenderedPageBreak/>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Option 1 - Excess reactive charges are calculated in the CDCM to reflect the cost imposed by the DNO of poor power factors.</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Option1</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We believe Option 1 is more cost reflective. However, until we can ascertain how the socialised costs are going to be recovered we cannot be sure that this is cost reflective.</w:t>
            </w:r>
          </w:p>
        </w:tc>
      </w:tr>
      <w:tr w:rsidR="00800AE4" w:rsidTr="00800AE4">
        <w:tc>
          <w:tcPr>
            <w:tcW w:w="1701" w:type="dxa"/>
          </w:tcPr>
          <w:p w:rsidR="00800AE4" w:rsidRDefault="00800AE4" w:rsidP="00800AE4">
            <w:pPr>
              <w:pStyle w:val="BodyTextNoSpacing"/>
            </w:pPr>
            <w:r>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 xml:space="preserve">The purpose of allowing a generator to operate in excess of the power factor threshold is typically to resolve system operation issues at transmission level and avoiding the costs of resolving these issues by application of different approaches. </w:t>
            </w:r>
            <w:proofErr w:type="gramStart"/>
            <w:r>
              <w:t>Therefore</w:t>
            </w:r>
            <w:proofErr w:type="gramEnd"/>
            <w:r>
              <w:t xml:space="preserve"> it is possible that neither option is more reflective of the costs incurred by the DNO. </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Option 1 is more cost reflective.</w:t>
            </w:r>
          </w:p>
        </w:tc>
      </w:tr>
      <w:tr w:rsidR="00800AE4" w:rsidTr="00800AE4">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NoSpacing"/>
            </w:pPr>
            <w:r>
              <w:t>We do not believe either option to be more cost reflective than the current baseline.</w:t>
            </w:r>
          </w:p>
        </w:tc>
      </w:tr>
      <w:bookmarkEnd w:id="7"/>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8" w:name="dcusa_response9"/>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Does the excess reactive power charge for generators provide an incentive for generators to run more efficiently?</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We believe the reactive power charges provide an economic incentive for generators to run in a way that enables the distribution network to which they are connected to operate more efficiently; this is the justification for having reactive power charges in the CDCM.</w:t>
            </w:r>
          </w:p>
        </w:tc>
      </w:tr>
      <w:tr w:rsidR="00800AE4" w:rsidTr="00800AE4">
        <w:tc>
          <w:tcPr>
            <w:tcW w:w="1701" w:type="dxa"/>
          </w:tcPr>
          <w:p w:rsidR="00800AE4" w:rsidRDefault="00800AE4" w:rsidP="00800AE4">
            <w:pPr>
              <w:pStyle w:val="BodyTextNoSpacing"/>
            </w:pPr>
            <w:r>
              <w:t xml:space="preserve">Northern Powergrid on behalf of </w:t>
            </w:r>
            <w:r>
              <w:lastRenderedPageBreak/>
              <w:t>Northern Powergrid (Yorkshire) Plc and Northern Powergrid (Northeast) Ltd</w:t>
            </w:r>
          </w:p>
        </w:tc>
        <w:tc>
          <w:tcPr>
            <w:tcW w:w="1871" w:type="dxa"/>
          </w:tcPr>
          <w:p w:rsidR="00800AE4" w:rsidRDefault="00800AE4" w:rsidP="00800AE4">
            <w:pPr>
              <w:pStyle w:val="BodyTextNoSpacing"/>
            </w:pPr>
            <w:r>
              <w:lastRenderedPageBreak/>
              <w:t>Non-confidential</w:t>
            </w:r>
          </w:p>
        </w:tc>
        <w:tc>
          <w:tcPr>
            <w:tcW w:w="10431" w:type="dxa"/>
          </w:tcPr>
          <w:p w:rsidR="00800AE4" w:rsidRDefault="00800AE4" w:rsidP="00800AE4">
            <w:pPr>
              <w:pStyle w:val="BodyTextNoSpacing"/>
            </w:pPr>
            <w:r>
              <w:t xml:space="preserve">The revenue recovered across all DNO areas is very small in comparison to the total revenue recovered.   Either the excess reactive power charge does not provide any real signal to generators </w:t>
            </w:r>
            <w:r>
              <w:lastRenderedPageBreak/>
              <w:t xml:space="preserve">or alternatively DNOs are managing those customers who do operate outside 0.95 power factor via other means than UoS charges. </w:t>
            </w:r>
          </w:p>
        </w:tc>
      </w:tr>
      <w:tr w:rsidR="00800AE4" w:rsidTr="00800AE4">
        <w:tc>
          <w:tcPr>
            <w:tcW w:w="1701" w:type="dxa"/>
          </w:tcPr>
          <w:p w:rsidR="00800AE4" w:rsidRDefault="00800AE4" w:rsidP="00800AE4">
            <w:pPr>
              <w:pStyle w:val="BodyTextNoSpacing"/>
            </w:pPr>
            <w:r>
              <w:lastRenderedPageBreak/>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That probably depends on the form of generation equipment.</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Although the costs/revenues associated with excess reactive aren’t significant (relative to the total CDCM revenue) we believe that the charge does incentivise generators to run more efficiently.</w:t>
            </w:r>
          </w:p>
        </w:tc>
      </w:tr>
      <w:tr w:rsidR="00800AE4" w:rsidTr="00800AE4">
        <w:tc>
          <w:tcPr>
            <w:tcW w:w="1701" w:type="dxa"/>
          </w:tcPr>
          <w:p w:rsidR="00800AE4" w:rsidRDefault="00800AE4" w:rsidP="00800AE4">
            <w:pPr>
              <w:pStyle w:val="BodyTextNoSpacing"/>
            </w:pPr>
            <w:r>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 Excess reactive charges are calculated in the CDCM to reflect the cost imposed by the DNO of poor power factors.</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 xml:space="preserve">The excess reactive power charge incentivises generators to operate in certain way. By having a reactive power </w:t>
            </w:r>
            <w:proofErr w:type="gramStart"/>
            <w:r>
              <w:t>charge</w:t>
            </w:r>
            <w:proofErr w:type="gramEnd"/>
            <w:r>
              <w:t xml:space="preserve"> we believe that generators are incentivised to operate in a way that delivers maximum power to the distribution system. In the sense of their primary purpose of generating power and exporting this to the distribution system then yes, we believe that the excess reactive power charge does provide an incentive for generators to operate more efficiently. </w:t>
            </w:r>
            <w:proofErr w:type="gramStart"/>
            <w:r>
              <w:t>However</w:t>
            </w:r>
            <w:proofErr w:type="gramEnd"/>
            <w:r>
              <w:t xml:space="preserve"> when </w:t>
            </w:r>
            <w:r>
              <w:lastRenderedPageBreak/>
              <w:t xml:space="preserve">viewed holistically we believe that the excess reactive power charge may constrain generators from operating in a way most beneficial for the distribution system and its users. </w:t>
            </w:r>
          </w:p>
        </w:tc>
      </w:tr>
      <w:tr w:rsidR="00800AE4" w:rsidTr="00800AE4">
        <w:tc>
          <w:tcPr>
            <w:tcW w:w="1701" w:type="dxa"/>
          </w:tcPr>
          <w:p w:rsidR="00800AE4" w:rsidRDefault="00800AE4" w:rsidP="00800AE4">
            <w:pPr>
              <w:pStyle w:val="BodyTextNoSpacing"/>
            </w:pPr>
            <w:r>
              <w:lastRenderedPageBreak/>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 xml:space="preserve">The purpose of the excess reactive power charge is to encourage the generator to run more efficiently which would have a positive impact on the operation of the network. </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NoSpacing"/>
            </w:pPr>
            <w:r>
              <w:t>Yes we believe it does</w:t>
            </w:r>
          </w:p>
        </w:tc>
      </w:tr>
      <w:bookmarkEnd w:id="8"/>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9" w:name="dcusa_response10"/>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Are there any alternative solutions or matters that should be considered?</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Given the low materiality of reactive power charges for CDCM customers we would be satisfied with Option 1.  However, a potential alternative solution that might be worth consideration is given below:</w:t>
            </w:r>
          </w:p>
          <w:p w:rsidR="00800AE4" w:rsidRDefault="00800AE4" w:rsidP="00800AE4">
            <w:pPr>
              <w:pStyle w:val="BodyText"/>
            </w:pPr>
          </w:p>
          <w:p w:rsidR="00800AE4" w:rsidRDefault="00800AE4" w:rsidP="00800AE4">
            <w:pPr>
              <w:pStyle w:val="BodyText"/>
            </w:pPr>
            <w:r>
              <w:t>Where generators are requested to operate outside a power limit for the benefit of National Grid, National Grid could compensate generators directly for any DNO reactive power charges incurred by the generator.</w:t>
            </w:r>
          </w:p>
          <w:p w:rsidR="00800AE4" w:rsidRDefault="00800AE4" w:rsidP="00800AE4">
            <w:pPr>
              <w:pStyle w:val="BodyText"/>
            </w:pPr>
          </w:p>
          <w:p w:rsidR="00800AE4" w:rsidRDefault="00800AE4" w:rsidP="00800AE4">
            <w:pPr>
              <w:pStyle w:val="BodyText"/>
            </w:pPr>
            <w:r>
              <w:t>This would ensure all benefits and costs are sustained by National Grid, and so the costs of generators operating outside reactive power limits could be properly evaluated against other alternative actions that National Grid may be able to undertake.  This would result in the optimal economic solution to issues on the transmission network.</w:t>
            </w:r>
          </w:p>
          <w:p w:rsidR="00800AE4" w:rsidRDefault="00800AE4" w:rsidP="00800AE4">
            <w:pPr>
              <w:pStyle w:val="BodyText"/>
            </w:pPr>
          </w:p>
          <w:p w:rsidR="00800AE4" w:rsidRDefault="00800AE4" w:rsidP="00800AE4">
            <w:pPr>
              <w:pStyle w:val="BodyText"/>
            </w:pPr>
            <w:r>
              <w:lastRenderedPageBreak/>
              <w:t>As there would be no impact on charges on the DNO’s network this would maintain the full cost reflectivity of the current CDCM charges without compromise.</w:t>
            </w:r>
          </w:p>
          <w:p w:rsidR="00800AE4" w:rsidRDefault="00800AE4" w:rsidP="00800AE4">
            <w:pPr>
              <w:pStyle w:val="BodyText"/>
            </w:pPr>
          </w:p>
          <w:p w:rsidR="00800AE4" w:rsidRPr="003732CD" w:rsidRDefault="00800AE4" w:rsidP="00800AE4">
            <w:pPr>
              <w:pStyle w:val="BodyText"/>
              <w:jc w:val="both"/>
            </w:pPr>
            <w:r>
              <w:t>In regards to other matters to consider: the removal of Reactive Power charges from the CDCM would result in the CDCM and EDCM being inconsistent.  Although the EDCM does not feature separate Reactive Power charges, the associated costs are accounted for in the EDCM methodology via the load flow calculations.</w:t>
            </w:r>
          </w:p>
        </w:tc>
      </w:tr>
      <w:tr w:rsidR="00800AE4" w:rsidTr="00800AE4">
        <w:tc>
          <w:tcPr>
            <w:tcW w:w="1701" w:type="dxa"/>
          </w:tcPr>
          <w:p w:rsidR="00800AE4" w:rsidRDefault="00800AE4" w:rsidP="00800AE4">
            <w:pPr>
              <w:pStyle w:val="BodyTextNoSpacing"/>
            </w:pPr>
            <w:r>
              <w:lastRenderedPageBreak/>
              <w:t>Northern Powergrid on behalf of Northern Powergrid (Yorkshire) Plc and Northern Powergrid (Northeast)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None that we are aware of at this stage.</w:t>
            </w:r>
          </w:p>
        </w:tc>
      </w:tr>
      <w:tr w:rsidR="00800AE4" w:rsidTr="00800AE4">
        <w:tc>
          <w:tcPr>
            <w:tcW w:w="1701" w:type="dxa"/>
          </w:tcPr>
          <w:p w:rsidR="00800AE4" w:rsidRDefault="00800AE4" w:rsidP="00800AE4">
            <w:pPr>
              <w:pStyle w:val="BodyTextNoSpacing"/>
            </w:pPr>
            <w:r>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rPr>
                <w:rFonts w:ascii="Tahoma" w:hAnsi="Tahoma" w:cs="Tahoma"/>
                <w:color w:val="000000"/>
                <w:szCs w:val="20"/>
              </w:rPr>
            </w:pPr>
            <w:r>
              <w:t>Without a clear understanding of the problem that is seeking to be solved, it is not clear whether the solution meets the objectives.  See answer to Q6 which also considers import customers</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jc w:val="both"/>
            </w:pPr>
            <w:r w:rsidRPr="003732CD">
              <w:t>In our experience, reactive power issues affecting chargeable capacity are of greater concern to generators</w:t>
            </w:r>
            <w:r>
              <w:t xml:space="preserve"> with regard to their MIC, metered at the same connection point as their MEC</w:t>
            </w:r>
            <w:r w:rsidRPr="003732CD">
              <w:t xml:space="preserve">. </w:t>
            </w:r>
          </w:p>
          <w:p w:rsidR="00800AE4" w:rsidRDefault="00800AE4" w:rsidP="00800AE4">
            <w:pPr>
              <w:pStyle w:val="BodyText"/>
              <w:jc w:val="both"/>
            </w:pPr>
            <w:r w:rsidRPr="003732CD">
              <w:t>Chargeable capacity issues can also significantly affect</w:t>
            </w:r>
            <w:r>
              <w:t xml:space="preserve"> excess import capacity charges for</w:t>
            </w:r>
            <w:r w:rsidRPr="003732CD">
              <w:t xml:space="preserve"> EDCM generation</w:t>
            </w:r>
            <w:r>
              <w:t xml:space="preserve"> customers </w:t>
            </w:r>
            <w:r w:rsidRPr="003732CD">
              <w:t>which may be truly assisting the transmission system.</w:t>
            </w:r>
            <w:r>
              <w:t xml:space="preserve">  </w:t>
            </w:r>
          </w:p>
          <w:p w:rsidR="00800AE4" w:rsidRDefault="00800AE4" w:rsidP="00800AE4">
            <w:pPr>
              <w:pStyle w:val="BodyTextNoSpacing"/>
            </w:pPr>
            <w:r>
              <w:t xml:space="preserve">It would therefore be of benefit to consider a solution that takes into account the potential impacts on Capacity Charges.   </w:t>
            </w:r>
          </w:p>
        </w:tc>
      </w:tr>
      <w:tr w:rsidR="00800AE4" w:rsidTr="00800AE4">
        <w:tc>
          <w:tcPr>
            <w:tcW w:w="1701" w:type="dxa"/>
          </w:tcPr>
          <w:p w:rsidR="00800AE4" w:rsidRDefault="00800AE4" w:rsidP="00800AE4">
            <w:pPr>
              <w:pStyle w:val="BodyTextNoSpacing"/>
            </w:pPr>
            <w:r>
              <w:lastRenderedPageBreak/>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None at this time.</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No</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p>
        </w:tc>
      </w:tr>
      <w:tr w:rsidR="00800AE4" w:rsidTr="00800AE4">
        <w:tc>
          <w:tcPr>
            <w:tcW w:w="1701" w:type="dxa"/>
          </w:tcPr>
          <w:p w:rsidR="00800AE4" w:rsidRDefault="00800AE4" w:rsidP="00800AE4">
            <w:pPr>
              <w:pStyle w:val="BodyTextNoSpacing"/>
            </w:pPr>
            <w:r>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Having actively participated in the working group we are not aware of any further solutions at this time that can be applied as general ‘tariff applications’. We would support the application of a targeted approach where ‘free </w:t>
            </w:r>
            <w:proofErr w:type="spellStart"/>
            <w:r>
              <w:t>VArhs</w:t>
            </w:r>
            <w:proofErr w:type="spellEnd"/>
            <w:r>
              <w:t xml:space="preserve">’ could be applied to generators in areas where there were specific system operation issues that needed resolutions. Using the ‘free </w:t>
            </w:r>
            <w:proofErr w:type="spellStart"/>
            <w:r>
              <w:t>VArh</w:t>
            </w:r>
            <w:proofErr w:type="spellEnd"/>
            <w:r>
              <w:t xml:space="preserve">’ approach generators are able to operate within an extended power factor range applicable to their generation output. This would be applied to address specific issues that arise. </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None</w:t>
            </w:r>
          </w:p>
        </w:tc>
      </w:tr>
      <w:tr w:rsidR="00800AE4" w:rsidTr="00800AE4">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
            </w:pPr>
            <w:r w:rsidRPr="00800AE4">
              <w:t>where a generator is required to operate outside of the 0.95 PF the cost of reactive power charges could be reimbursed through bilateral commercial agreements between the generator and network operator requesting the action.</w:t>
            </w:r>
          </w:p>
        </w:tc>
      </w:tr>
      <w:bookmarkEnd w:id="9"/>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10" w:name="dcusa_response11"/>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Are you supportive of the proposed implementation date of 1 April 2018?</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lastRenderedPageBreak/>
              <w:t>Northern Powergrid on behalf of Northern Powergrid (Yorkshire) Plc and Northern Powergrid (Northeast)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 this is the earliest date which this change could be implemented.</w:t>
            </w:r>
          </w:p>
        </w:tc>
      </w:tr>
      <w:tr w:rsidR="00800AE4" w:rsidTr="00800AE4">
        <w:tc>
          <w:tcPr>
            <w:tcW w:w="1701" w:type="dxa"/>
          </w:tcPr>
          <w:p w:rsidR="00800AE4" w:rsidRDefault="00800AE4" w:rsidP="00800AE4">
            <w:pPr>
              <w:pStyle w:val="BodyTextNoSpacing"/>
            </w:pPr>
            <w:r>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Not without clarity of the reason for the change and consideration of all options</w:t>
            </w:r>
          </w:p>
        </w:tc>
      </w:tr>
      <w:tr w:rsidR="00800AE4" w:rsidTr="00800AE4">
        <w:tc>
          <w:tcPr>
            <w:tcW w:w="1701" w:type="dxa"/>
          </w:tcPr>
          <w:p w:rsidR="00800AE4" w:rsidRDefault="00800AE4" w:rsidP="00800AE4">
            <w:pPr>
              <w:pStyle w:val="BodyTextNoSpacing"/>
            </w:pPr>
            <w:r>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 xml:space="preserve">No as we do not support the CP on the basis of the information presented at this time.  </w:t>
            </w:r>
          </w:p>
        </w:tc>
      </w:tr>
      <w:tr w:rsidR="00800AE4" w:rsidTr="00800AE4">
        <w:tc>
          <w:tcPr>
            <w:tcW w:w="1701" w:type="dxa"/>
          </w:tcPr>
          <w:p w:rsidR="00800AE4" w:rsidRDefault="00800AE4" w:rsidP="00800AE4">
            <w:pPr>
              <w:pStyle w:val="BodyTextNoSpacing"/>
            </w:pPr>
            <w:r>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If the change is approved we would be supportive of the implementation date.</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Subject to the concerns highlight earlier in this response being addressed in adequate time we would be supportive of this implementation date.</w:t>
            </w:r>
          </w:p>
        </w:tc>
      </w:tr>
      <w:tr w:rsidR="00800AE4" w:rsidTr="00800AE4">
        <w:tc>
          <w:tcPr>
            <w:tcW w:w="1701" w:type="dxa"/>
          </w:tcPr>
          <w:p w:rsidR="00800AE4" w:rsidRDefault="00800AE4" w:rsidP="00800AE4">
            <w:pPr>
              <w:pStyle w:val="BodyTextNoSpacing"/>
            </w:pPr>
            <w:r>
              <w:lastRenderedPageBreak/>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If a change were to be approved then we would agree that 1 April 2018 would be the appropriate date.</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Yes</w:t>
            </w:r>
          </w:p>
        </w:tc>
      </w:tr>
      <w:tr w:rsidR="00800AE4" w:rsidTr="00800AE4">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NoSpacing"/>
            </w:pPr>
            <w:r>
              <w:t>No</w:t>
            </w:r>
          </w:p>
        </w:tc>
      </w:tr>
      <w:bookmarkEnd w:id="10"/>
    </w:tbl>
    <w:p w:rsidR="00800AE4" w:rsidRDefault="00800AE4" w:rsidP="00CD1596"/>
    <w:tbl>
      <w:tblPr>
        <w:tblStyle w:val="ElectralinkResponseTable"/>
        <w:tblW w:w="14003" w:type="dxa"/>
        <w:tblInd w:w="108" w:type="dxa"/>
        <w:tblLayout w:type="fixed"/>
        <w:tblLook w:val="04A0" w:firstRow="1" w:lastRow="0" w:firstColumn="1" w:lastColumn="0" w:noHBand="0" w:noVBand="1"/>
      </w:tblPr>
      <w:tblGrid>
        <w:gridCol w:w="1701"/>
        <w:gridCol w:w="1871"/>
        <w:gridCol w:w="10431"/>
      </w:tblGrid>
      <w:tr w:rsidR="00800AE4" w:rsidTr="00800AE4">
        <w:trPr>
          <w:cnfStyle w:val="100000000000" w:firstRow="1" w:lastRow="0" w:firstColumn="0" w:lastColumn="0" w:oddVBand="0" w:evenVBand="0" w:oddHBand="0" w:evenHBand="0" w:firstRowFirstColumn="0" w:firstRowLastColumn="0" w:lastRowFirstColumn="0" w:lastRowLastColumn="0"/>
        </w:trPr>
        <w:tc>
          <w:tcPr>
            <w:tcW w:w="1701" w:type="dxa"/>
          </w:tcPr>
          <w:p w:rsidR="00800AE4" w:rsidRDefault="00800AE4" w:rsidP="00800AE4">
            <w:pPr>
              <w:pStyle w:val="ColumnHeading"/>
            </w:pPr>
            <w:bookmarkStart w:id="11" w:name="dcusa_response12"/>
            <w:r>
              <w:t>Company</w:t>
            </w:r>
          </w:p>
        </w:tc>
        <w:tc>
          <w:tcPr>
            <w:tcW w:w="1871" w:type="dxa"/>
          </w:tcPr>
          <w:p w:rsidR="00800AE4" w:rsidRDefault="00800AE4" w:rsidP="00800AE4">
            <w:pPr>
              <w:pStyle w:val="ColumnHeading"/>
            </w:pPr>
            <w:r>
              <w:t>Confidential/</w:t>
            </w:r>
          </w:p>
          <w:p w:rsidR="00800AE4" w:rsidRDefault="00800AE4" w:rsidP="00800AE4">
            <w:pPr>
              <w:pStyle w:val="ColumnHeading"/>
            </w:pPr>
            <w:r>
              <w:t>Anonymous</w:t>
            </w:r>
          </w:p>
        </w:tc>
        <w:tc>
          <w:tcPr>
            <w:tcW w:w="10431" w:type="dxa"/>
          </w:tcPr>
          <w:p w:rsidR="00800AE4" w:rsidRDefault="00800AE4" w:rsidP="00800AE4">
            <w:pPr>
              <w:pStyle w:val="Question"/>
              <w:numPr>
                <w:ilvl w:val="0"/>
                <w:numId w:val="16"/>
              </w:numPr>
            </w:pPr>
            <w:r w:rsidRPr="0055671A">
              <w:t>Please state any other comments or views on the Change Proposal.</w:t>
            </w:r>
          </w:p>
        </w:tc>
      </w:tr>
      <w:tr w:rsidR="00800AE4" w:rsidTr="00800AE4">
        <w:tc>
          <w:tcPr>
            <w:tcW w:w="1701" w:type="dxa"/>
          </w:tcPr>
          <w:p w:rsidR="00800AE4" w:rsidRDefault="00800AE4" w:rsidP="00800AE4">
            <w:pPr>
              <w:pStyle w:val="BodyTextNoSpacing"/>
            </w:pPr>
            <w:r>
              <w:t>Electricity North West</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None.</w:t>
            </w:r>
          </w:p>
        </w:tc>
      </w:tr>
      <w:tr w:rsidR="00800AE4" w:rsidTr="00800AE4">
        <w:tc>
          <w:tcPr>
            <w:tcW w:w="1701" w:type="dxa"/>
          </w:tcPr>
          <w:p w:rsidR="00800AE4" w:rsidRDefault="00800AE4" w:rsidP="00800AE4">
            <w:pPr>
              <w:pStyle w:val="BodyTextNoSpacing"/>
            </w:pPr>
            <w:r>
              <w:t>Northern Powergrid on behalf of Northern Powergrid (Yorkshire) Plc and Northern Powergrid (Northeast)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We do not believe that there is currently a requirement for this change to be progressed as there is no pressing need, or current request, for generators to operate outside 0.95 power factor; </w:t>
            </w:r>
            <w:proofErr w:type="gramStart"/>
            <w:r>
              <w:t>specifically</w:t>
            </w:r>
            <w:proofErr w:type="gramEnd"/>
            <w:r>
              <w:t xml:space="preserve"> at voltages of 11kV or below.  This should be monitored and if this becomes an issue at 11kV or below then there should be a change proposal raised and progressed at that time.</w:t>
            </w:r>
          </w:p>
          <w:p w:rsidR="00800AE4" w:rsidRDefault="00800AE4" w:rsidP="00800AE4">
            <w:pPr>
              <w:pStyle w:val="BodyTextNoSpacing"/>
            </w:pPr>
            <w:r>
              <w:rPr>
                <w:rFonts w:ascii="Calibri" w:hAnsi="Calibri"/>
                <w:sz w:val="22"/>
                <w:szCs w:val="22"/>
              </w:rPr>
              <w:t>If Option 1 were implemented it does not seem right that customers would receive the benefit for the full year, if it is not required by the DNO.  There would be the option for a customer to “game” the system and operate outside a 0.95 power factor even at times they were not explicitly required to do so and they would benefit financially from this action,</w:t>
            </w:r>
            <w:r>
              <w:rPr>
                <w:szCs w:val="20"/>
              </w:rPr>
              <w:t xml:space="preserve"> whilst potentially causing more network management issues for the Network Operator than this change seeks to resolve.</w:t>
            </w:r>
          </w:p>
        </w:tc>
      </w:tr>
      <w:tr w:rsidR="00800AE4" w:rsidTr="00800AE4">
        <w:tc>
          <w:tcPr>
            <w:tcW w:w="1701" w:type="dxa"/>
          </w:tcPr>
          <w:p w:rsidR="00800AE4" w:rsidRDefault="00800AE4" w:rsidP="00800AE4">
            <w:pPr>
              <w:pStyle w:val="BodyTextNoSpacing"/>
            </w:pPr>
            <w:r>
              <w:t>Power Data Associates Ltd</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Based on the statement in the change proposal there would appear to be a cross transfer of monies from the Distribution users to the Transmission users.  If the transmission system requires a different level of reactive demand on the transmission network then that should be made clear and reflected in the charges of all distribution users, not just a subset who are being required by NG to operate at a different power factor.  On the above information if NG wish to influence the operating power factor of certain generators then they need to reimburse them for the additional costs (DUoS) they incur.  That ensures the charges are fair to all users (DUoS users) and the costs fall on those that require a service (NGT).</w:t>
            </w:r>
          </w:p>
          <w:p w:rsidR="00800AE4" w:rsidRDefault="00800AE4" w:rsidP="00800AE4">
            <w:pPr>
              <w:pStyle w:val="BodyText"/>
            </w:pPr>
            <w:r>
              <w:lastRenderedPageBreak/>
              <w:t>Para 8.1 was only asking for responses from DNOs?  No reason was stated for limiting the type of respondents. The email and response document does not include the same restriction.</w:t>
            </w:r>
          </w:p>
        </w:tc>
      </w:tr>
      <w:tr w:rsidR="00800AE4" w:rsidTr="00800AE4">
        <w:tc>
          <w:tcPr>
            <w:tcW w:w="1701" w:type="dxa"/>
          </w:tcPr>
          <w:p w:rsidR="00800AE4" w:rsidRDefault="00800AE4" w:rsidP="00800AE4">
            <w:pPr>
              <w:pStyle w:val="BodyTextNoSpacing"/>
            </w:pPr>
            <w:r>
              <w:lastRenderedPageBreak/>
              <w:t>SmartestEnergy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p>
        </w:tc>
      </w:tr>
      <w:tr w:rsidR="00800AE4" w:rsidTr="00800AE4">
        <w:tc>
          <w:tcPr>
            <w:tcW w:w="1701" w:type="dxa"/>
          </w:tcPr>
          <w:p w:rsidR="00800AE4" w:rsidRDefault="00800AE4" w:rsidP="00800AE4">
            <w:pPr>
              <w:pStyle w:val="BodyTextNoSpacing"/>
            </w:pPr>
            <w:r>
              <w:t>Southern Electric Power Distribution plc and Scottish Hydro Electric Power Distribution plc</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NoSpacing"/>
            </w:pPr>
            <w:r>
              <w:t xml:space="preserve">N/A </w:t>
            </w:r>
          </w:p>
        </w:tc>
      </w:tr>
      <w:tr w:rsidR="00800AE4" w:rsidTr="00800AE4">
        <w:tc>
          <w:tcPr>
            <w:tcW w:w="1701" w:type="dxa"/>
          </w:tcPr>
          <w:p w:rsidR="00800AE4" w:rsidRDefault="00800AE4" w:rsidP="00800AE4">
            <w:pPr>
              <w:pStyle w:val="BodyTextNoSpacing"/>
            </w:pPr>
            <w:r>
              <w:t xml:space="preserve">SP Distribution / SP </w:t>
            </w:r>
            <w:proofErr w:type="spellStart"/>
            <w:r>
              <w:t>Manweb</w:t>
            </w:r>
            <w:proofErr w:type="spellEnd"/>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We do not believe that at this time there is currently a requirement for this change proposal. </w:t>
            </w:r>
          </w:p>
        </w:tc>
      </w:tr>
      <w:tr w:rsidR="00800AE4" w:rsidTr="00800AE4">
        <w:tc>
          <w:tcPr>
            <w:tcW w:w="1701" w:type="dxa"/>
          </w:tcPr>
          <w:p w:rsidR="00800AE4" w:rsidRDefault="00800AE4" w:rsidP="00800AE4">
            <w:pPr>
              <w:pStyle w:val="BodyTextNoSpacing"/>
            </w:pPr>
            <w:r>
              <w:t>SSE Energy Supply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N/C</w:t>
            </w:r>
          </w:p>
        </w:tc>
      </w:tr>
      <w:tr w:rsidR="00800AE4" w:rsidTr="00800AE4">
        <w:tc>
          <w:tcPr>
            <w:tcW w:w="1701" w:type="dxa"/>
          </w:tcPr>
          <w:p w:rsidR="00800AE4" w:rsidRDefault="00800AE4" w:rsidP="00800AE4">
            <w:pPr>
              <w:pStyle w:val="BodyTextNoSpacing"/>
            </w:pPr>
            <w:r>
              <w:t>The Electricity Network Company</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We have some general concerns that this change proposal may be addressing issues which are outside of the scope of the DCUSA. We have highlighted the below </w:t>
            </w:r>
          </w:p>
          <w:p w:rsidR="00800AE4" w:rsidRPr="00593177" w:rsidRDefault="00800AE4" w:rsidP="00800AE4">
            <w:pPr>
              <w:pStyle w:val="BodyText"/>
              <w:rPr>
                <w:b/>
              </w:rPr>
            </w:pPr>
            <w:r w:rsidRPr="00593177">
              <w:rPr>
                <w:b/>
              </w:rPr>
              <w:t>Standard Licence Condition 12 states:</w:t>
            </w:r>
          </w:p>
          <w:p w:rsidR="00800AE4" w:rsidRPr="00593177" w:rsidRDefault="00800AE4" w:rsidP="00800AE4">
            <w:pPr>
              <w:pStyle w:val="BodyText"/>
              <w:rPr>
                <w:i/>
              </w:rPr>
            </w:pPr>
            <w:r w:rsidRPr="00593177">
              <w:rPr>
                <w:i/>
              </w:rPr>
              <w:t xml:space="preserve">“12.1    The licensee must, on receiving a request from any person (“the requester”) asking it to do so, offer to enter into an agreement for Use of System under which it will: </w:t>
            </w:r>
          </w:p>
          <w:p w:rsidR="00800AE4" w:rsidRPr="00593177" w:rsidRDefault="00800AE4" w:rsidP="00800AE4">
            <w:pPr>
              <w:pStyle w:val="BodyText"/>
              <w:rPr>
                <w:i/>
              </w:rPr>
            </w:pPr>
            <w:r w:rsidRPr="00593177">
              <w:rPr>
                <w:i/>
              </w:rPr>
              <w:t xml:space="preserve">(a) accept into the licensee’s Distribution System, at any Entry Point and in any quantity that was specified by the requester in the request, electricity that is provided by or on behalf of the requester; and </w:t>
            </w:r>
          </w:p>
          <w:p w:rsidR="00800AE4" w:rsidRPr="00593177" w:rsidRDefault="00800AE4" w:rsidP="00800AE4">
            <w:pPr>
              <w:pStyle w:val="BodyText"/>
              <w:rPr>
                <w:i/>
              </w:rPr>
            </w:pPr>
            <w:r w:rsidRPr="00593177">
              <w:rPr>
                <w:i/>
              </w:rPr>
              <w:lastRenderedPageBreak/>
              <w:t>(b) distribute that quantity of electricity (subject to any distribution losses) to such Exit Point on the licensee’s Distribution System and to any person as the requester may specify”.</w:t>
            </w:r>
          </w:p>
          <w:p w:rsidR="00800AE4" w:rsidRDefault="00800AE4" w:rsidP="00800AE4">
            <w:pPr>
              <w:pStyle w:val="BodyText"/>
            </w:pPr>
            <w:r>
              <w:t xml:space="preserve">The Licence Condition here is about the distributor meeting the needs of the customer; it is not about meeting the needs of the distributor. We retain concerns that the circumstances described in the change proposal are outside of the scope of SLC 12. Use of system charges are by “agreement” with the supplier. The generator does not contract for use of system with the distributor unless, potentially, they register under CVA arrangements. </w:t>
            </w:r>
          </w:p>
          <w:p w:rsidR="00800AE4" w:rsidRDefault="00800AE4" w:rsidP="00800AE4">
            <w:pPr>
              <w:pStyle w:val="BodyText"/>
              <w:rPr>
                <w:b/>
              </w:rPr>
            </w:pPr>
            <w:r w:rsidRPr="00593177">
              <w:rPr>
                <w:b/>
              </w:rPr>
              <w:t>Standard Licence Condition 13 states</w:t>
            </w:r>
            <w:r>
              <w:rPr>
                <w:b/>
              </w:rPr>
              <w:t>:</w:t>
            </w:r>
          </w:p>
          <w:p w:rsidR="00800AE4" w:rsidRPr="00593177" w:rsidRDefault="00800AE4" w:rsidP="00800AE4">
            <w:pPr>
              <w:pStyle w:val="BodyText"/>
              <w:rPr>
                <w:i/>
              </w:rPr>
            </w:pPr>
            <w:r>
              <w:rPr>
                <w:i/>
              </w:rPr>
              <w:t>“</w:t>
            </w:r>
            <w:r w:rsidRPr="00593177">
              <w:rPr>
                <w:i/>
              </w:rPr>
              <w:t xml:space="preserve">13.3    The Relevant Objectives in relation to the Charging Methodology are: </w:t>
            </w:r>
          </w:p>
          <w:p w:rsidR="00800AE4" w:rsidRPr="00593177" w:rsidRDefault="00800AE4" w:rsidP="00800AE4">
            <w:pPr>
              <w:pStyle w:val="BodyText"/>
              <w:rPr>
                <w:i/>
              </w:rPr>
            </w:pPr>
            <w:r>
              <w:rPr>
                <w:i/>
              </w:rPr>
              <w:t xml:space="preserve">(a) </w:t>
            </w:r>
            <w:r w:rsidRPr="00593177">
              <w:rPr>
                <w:i/>
              </w:rPr>
              <w:t xml:space="preserve">that compliance with the methodology facilitates the discharge by the licensee of the obligations imposed on it under the Act and by this licence; </w:t>
            </w:r>
          </w:p>
          <w:p w:rsidR="00800AE4" w:rsidRPr="00593177" w:rsidRDefault="00800AE4" w:rsidP="00800AE4">
            <w:pPr>
              <w:pStyle w:val="BodyText"/>
              <w:rPr>
                <w:i/>
              </w:rPr>
            </w:pPr>
            <w:r w:rsidRPr="00593177">
              <w:rPr>
                <w:i/>
              </w:rPr>
              <w:t xml:space="preserve">(b) that compliance with the methodology facilitates competition in the generation and supply of electricity, and does not restrict, distort, or prevent competition in the transmission or distribution of electricity; </w:t>
            </w:r>
          </w:p>
          <w:p w:rsidR="00800AE4" w:rsidRPr="00593177" w:rsidRDefault="00800AE4" w:rsidP="00800AE4">
            <w:pPr>
              <w:pStyle w:val="BodyText"/>
              <w:rPr>
                <w:i/>
              </w:rPr>
            </w:pPr>
            <w:r w:rsidRPr="00593177">
              <w:rPr>
                <w:i/>
              </w:rPr>
              <w:t xml:space="preserve">(c) that compliance with the methodology results in charges which reflect, as far as is reasonably practicable (taking account of implementation costs), the costs incurred by the licensee in its Distribution Business; </w:t>
            </w:r>
          </w:p>
          <w:p w:rsidR="00800AE4" w:rsidRPr="00593177" w:rsidRDefault="00800AE4" w:rsidP="00800AE4">
            <w:pPr>
              <w:pStyle w:val="BodyText"/>
              <w:rPr>
                <w:i/>
              </w:rPr>
            </w:pPr>
            <w:r w:rsidRPr="00593177">
              <w:rPr>
                <w:i/>
              </w:rPr>
              <w:t>(d) that, so far as is consistent with subparagraphs (a), (b), and (c), the methodology, as far as is r</w:t>
            </w:r>
            <w:r>
              <w:rPr>
                <w:i/>
              </w:rPr>
              <w:t xml:space="preserve">easonably practicable, properly </w:t>
            </w:r>
            <w:r w:rsidRPr="00593177">
              <w:rPr>
                <w:i/>
              </w:rPr>
              <w:t>takes account of developments in the licensee’s Distribution Business; and</w:t>
            </w:r>
          </w:p>
          <w:p w:rsidR="00800AE4" w:rsidRDefault="00800AE4" w:rsidP="00800AE4">
            <w:pPr>
              <w:pStyle w:val="BodyText"/>
              <w:rPr>
                <w:i/>
              </w:rPr>
            </w:pPr>
            <w:r>
              <w:rPr>
                <w:i/>
              </w:rPr>
              <w:t>(e)</w:t>
            </w:r>
            <w:r w:rsidRPr="00593177">
              <w:rPr>
                <w:i/>
              </w:rPr>
              <w:t xml:space="preserve"> compliance with the Regulation and any relevant legally binding decisions of the European Commission and/or the Agency for the Co-operation of Energy Regulators”.</w:t>
            </w:r>
          </w:p>
          <w:p w:rsidR="00800AE4" w:rsidRDefault="00800AE4" w:rsidP="00800AE4">
            <w:pPr>
              <w:pStyle w:val="BodyText"/>
            </w:pPr>
            <w:r>
              <w:t>It is understandable that Section 9 of the Electricity Act places and obligation on the distributor to operate networks in an economic and efficient manner, and that the activities described in this DCP may better enable this. We struggle to understand, however, that these services fall within the scope of SLC 12 &amp; 13 and our view is, therefore, that such services fall outside the scope of DCUSA and should be contracted separately for with the customer. The “price” that a distributor pays for provision of such services should link directly to the quantified benefits it receives.</w:t>
            </w:r>
          </w:p>
          <w:p w:rsidR="00800AE4" w:rsidRDefault="00800AE4" w:rsidP="00800AE4">
            <w:pPr>
              <w:pStyle w:val="BodyText"/>
            </w:pPr>
            <w:r>
              <w:lastRenderedPageBreak/>
              <w:t>The Electricity Act Definitions are as follows:</w:t>
            </w:r>
          </w:p>
          <w:p w:rsidR="00800AE4" w:rsidRPr="00B47C32" w:rsidRDefault="00800AE4" w:rsidP="00800AE4">
            <w:pPr>
              <w:pStyle w:val="BodyText"/>
            </w:pPr>
            <w:r>
              <w:rPr>
                <w:b/>
              </w:rPr>
              <w:t xml:space="preserve">“Distribute”, </w:t>
            </w:r>
            <w:r w:rsidRPr="00B47C32">
              <w:rPr>
                <w:i/>
              </w:rPr>
              <w:t xml:space="preserve">in relation to electricity, means distribute by means of a distribution system, that is to say, a system which consists (wholly or mainly) of low voltage lines and electrical plant and is used for conveying electricity </w:t>
            </w:r>
            <w:r w:rsidRPr="00B47C32">
              <w:rPr>
                <w:b/>
                <w:i/>
              </w:rPr>
              <w:t xml:space="preserve">to </w:t>
            </w:r>
            <w:r w:rsidRPr="00B47C32">
              <w:rPr>
                <w:i/>
              </w:rPr>
              <w:t xml:space="preserve">any premises or </w:t>
            </w:r>
            <w:r w:rsidRPr="00B47C32">
              <w:rPr>
                <w:b/>
                <w:i/>
              </w:rPr>
              <w:t xml:space="preserve">to </w:t>
            </w:r>
            <w:r w:rsidRPr="00B47C32">
              <w:rPr>
                <w:i/>
              </w:rPr>
              <w:t>any other distribution system.</w:t>
            </w:r>
          </w:p>
          <w:p w:rsidR="00800AE4" w:rsidRDefault="00800AE4" w:rsidP="00800AE4">
            <w:pPr>
              <w:pStyle w:val="BodyText"/>
            </w:pPr>
            <w:r>
              <w:t>The definition above applies to electricity distribution systems which are licenced or operated under exemption. The definition is to convey electricity “</w:t>
            </w:r>
            <w:r>
              <w:rPr>
                <w:b/>
              </w:rPr>
              <w:t xml:space="preserve">to” </w:t>
            </w:r>
            <w:r>
              <w:t>Premises rather than “</w:t>
            </w:r>
            <w:r w:rsidRPr="00B47C32">
              <w:rPr>
                <w:b/>
              </w:rPr>
              <w:t>from</w:t>
            </w:r>
            <w:r>
              <w:t>” premises. By this definition generation is excluded. Whilst this does not change the obligation to provide connections it may change the scope under which generators are charged for use of system.</w:t>
            </w:r>
          </w:p>
          <w:p w:rsidR="00800AE4" w:rsidRDefault="00800AE4" w:rsidP="00800AE4">
            <w:pPr>
              <w:pStyle w:val="BodyText"/>
            </w:pPr>
          </w:p>
          <w:p w:rsidR="00800AE4" w:rsidRDefault="00800AE4" w:rsidP="00800AE4">
            <w:pPr>
              <w:pStyle w:val="BodyText"/>
            </w:pPr>
            <w:r>
              <w:t>The working group may wish to consider these points in the development of this change proposal</w:t>
            </w:r>
          </w:p>
          <w:p w:rsidR="00800AE4" w:rsidRDefault="00800AE4" w:rsidP="00800AE4">
            <w:pPr>
              <w:pStyle w:val="BodyText"/>
            </w:pPr>
          </w:p>
        </w:tc>
      </w:tr>
      <w:tr w:rsidR="00800AE4" w:rsidTr="00800AE4">
        <w:tc>
          <w:tcPr>
            <w:tcW w:w="1701" w:type="dxa"/>
          </w:tcPr>
          <w:p w:rsidR="00800AE4" w:rsidRDefault="00800AE4" w:rsidP="00800AE4">
            <w:pPr>
              <w:pStyle w:val="BodyTextNoSpacing"/>
            </w:pPr>
            <w:r>
              <w:lastRenderedPageBreak/>
              <w:t>UK Power Networks</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 xml:space="preserve">We don’t believe that a change to the arrangements will have any impact on solving the issues which National Grid has at a transmission level. We also understand that National Grid are looking at their charging arrangements to address this and similar issues. </w:t>
            </w:r>
            <w:proofErr w:type="gramStart"/>
            <w:r>
              <w:t>Therefore</w:t>
            </w:r>
            <w:proofErr w:type="gramEnd"/>
            <w:r>
              <w:t xml:space="preserve"> we see no benefit in taking this change forward until National Grid have completed the review of their charging arrangements. </w:t>
            </w:r>
          </w:p>
        </w:tc>
      </w:tr>
      <w:tr w:rsidR="00800AE4" w:rsidTr="00800AE4">
        <w:tc>
          <w:tcPr>
            <w:tcW w:w="1701" w:type="dxa"/>
          </w:tcPr>
          <w:p w:rsidR="00800AE4" w:rsidRDefault="00800AE4" w:rsidP="00800AE4">
            <w:pPr>
              <w:pStyle w:val="BodyTextNoSpacing"/>
            </w:pPr>
            <w:r>
              <w:t>Western Power Distribution</w:t>
            </w:r>
          </w:p>
        </w:tc>
        <w:tc>
          <w:tcPr>
            <w:tcW w:w="1871" w:type="dxa"/>
          </w:tcPr>
          <w:p w:rsidR="00800AE4" w:rsidRDefault="00800AE4" w:rsidP="00800AE4">
            <w:pPr>
              <w:pStyle w:val="BodyTextNoSpacing"/>
            </w:pPr>
            <w:r>
              <w:t>Non-confidential</w:t>
            </w:r>
          </w:p>
        </w:tc>
        <w:tc>
          <w:tcPr>
            <w:tcW w:w="10431" w:type="dxa"/>
          </w:tcPr>
          <w:p w:rsidR="00800AE4" w:rsidRDefault="00800AE4" w:rsidP="00800AE4">
            <w:pPr>
              <w:pStyle w:val="BodyText"/>
            </w:pPr>
            <w:r>
              <w:t>None</w:t>
            </w:r>
          </w:p>
        </w:tc>
      </w:tr>
      <w:tr w:rsidR="00800AE4" w:rsidTr="00800AE4">
        <w:tc>
          <w:tcPr>
            <w:tcW w:w="1701" w:type="dxa"/>
          </w:tcPr>
          <w:p w:rsidR="00800AE4" w:rsidRDefault="00800AE4" w:rsidP="00800AE4">
            <w:pPr>
              <w:pStyle w:val="BodyTextNoSpacing"/>
            </w:pPr>
            <w:r>
              <w:t>Supplier 1</w:t>
            </w:r>
          </w:p>
        </w:tc>
        <w:tc>
          <w:tcPr>
            <w:tcW w:w="1871" w:type="dxa"/>
          </w:tcPr>
          <w:p w:rsidR="00800AE4" w:rsidRDefault="00800AE4" w:rsidP="00800AE4">
            <w:pPr>
              <w:pStyle w:val="BodyTextNoSpacing"/>
            </w:pPr>
            <w:r>
              <w:t>Anonymous</w:t>
            </w:r>
          </w:p>
        </w:tc>
        <w:tc>
          <w:tcPr>
            <w:tcW w:w="10431" w:type="dxa"/>
          </w:tcPr>
          <w:p w:rsidR="00800AE4" w:rsidRDefault="00800AE4" w:rsidP="00800AE4">
            <w:pPr>
              <w:pStyle w:val="BodyText"/>
            </w:pPr>
            <w:r>
              <w:t>We have no further comments at this time</w:t>
            </w:r>
          </w:p>
        </w:tc>
      </w:tr>
    </w:tbl>
    <w:p w:rsidR="00CD1596" w:rsidRPr="00CD1596" w:rsidRDefault="00CD1596" w:rsidP="00CD1596">
      <w:bookmarkStart w:id="12" w:name="_GoBack"/>
      <w:bookmarkEnd w:id="11"/>
      <w:bookmarkEnd w:id="12"/>
    </w:p>
    <w:sectPr w:rsidR="00CD1596" w:rsidRPr="00CD1596" w:rsidSect="00802E3D">
      <w:headerReference w:type="default" r:id="rId8"/>
      <w:footerReference w:type="default" r:id="rId9"/>
      <w:pgSz w:w="16840" w:h="11907" w:orient="landscape"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AE4" w:rsidRDefault="00800AE4" w:rsidP="00802E3D">
      <w:r>
        <w:separator/>
      </w:r>
    </w:p>
  </w:endnote>
  <w:endnote w:type="continuationSeparator" w:id="0">
    <w:p w:rsidR="00800AE4" w:rsidRDefault="00800AE4" w:rsidP="0080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AE4" w:rsidRDefault="003161EF" w:rsidP="00802E3D">
    <w:pPr>
      <w:pStyle w:val="Footer"/>
    </w:pPr>
    <w:r>
      <w:t>21</w:t>
    </w:r>
    <w:r w:rsidR="00800AE4">
      <w:t xml:space="preserve"> April 2016</w:t>
    </w:r>
    <w:r w:rsidR="00800AE4">
      <w:tab/>
      <w:t xml:space="preserve">Page </w:t>
    </w:r>
    <w:r w:rsidR="00800AE4">
      <w:fldChar w:fldCharType="begin"/>
    </w:r>
    <w:r w:rsidR="00800AE4">
      <w:instrText xml:space="preserve"> page </w:instrText>
    </w:r>
    <w:r w:rsidR="00800AE4">
      <w:fldChar w:fldCharType="separate"/>
    </w:r>
    <w:r w:rsidR="003004A6">
      <w:rPr>
        <w:noProof/>
      </w:rPr>
      <w:t>26</w:t>
    </w:r>
    <w:r w:rsidR="00800AE4">
      <w:fldChar w:fldCharType="end"/>
    </w:r>
    <w:r w:rsidR="00800AE4">
      <w:t xml:space="preserve"> of </w:t>
    </w:r>
    <w:r w:rsidR="00800AE4">
      <w:fldChar w:fldCharType="begin"/>
    </w:r>
    <w:r w:rsidR="00800AE4">
      <w:instrText xml:space="preserve"> numpages </w:instrText>
    </w:r>
    <w:r w:rsidR="00800AE4">
      <w:fldChar w:fldCharType="separate"/>
    </w:r>
    <w:r w:rsidR="003004A6">
      <w:rPr>
        <w:noProof/>
      </w:rPr>
      <w:t>26</w:t>
    </w:r>
    <w:r w:rsidR="00800AE4">
      <w:fldChar w:fldCharType="end"/>
    </w:r>
    <w:r w:rsidR="00800AE4">
      <w:tab/>
      <w:t>v0.1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AE4" w:rsidRDefault="00800AE4" w:rsidP="00802E3D">
      <w:r>
        <w:separator/>
      </w:r>
    </w:p>
  </w:footnote>
  <w:footnote w:type="continuationSeparator" w:id="0">
    <w:p w:rsidR="00800AE4" w:rsidRDefault="00800AE4" w:rsidP="0080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AE4" w:rsidRDefault="00800AE4">
    <w:pPr>
      <w:pStyle w:val="Header"/>
    </w:pPr>
    <w:r>
      <w:t>DCUSA Consultation</w:t>
    </w:r>
    <w:r>
      <w:tab/>
      <w:t xml:space="preserve">DCP </w:t>
    </w:r>
    <w:r w:rsidR="003161EF">
      <w:t>222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002E5EC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9"/>
  </w:num>
  <w:num w:numId="16">
    <w:abstractNumId w:val="6"/>
  </w:num>
  <w:num w:numId="17">
    <w:abstractNumId w:val="9"/>
  </w:num>
  <w:num w:numId="18">
    <w:abstractNumId w:val="9"/>
  </w:num>
  <w:num w:numId="19">
    <w:abstractNumId w:val="8"/>
  </w:num>
  <w:num w:numId="20">
    <w:abstractNumId w:val="8"/>
  </w:num>
  <w:num w:numId="21">
    <w:abstractNumId w:val="8"/>
  </w:num>
  <w:num w:numId="22">
    <w:abstractNumId w:val="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694"/>
    <w:rsid w:val="00077D80"/>
    <w:rsid w:val="000D101E"/>
    <w:rsid w:val="001E03C5"/>
    <w:rsid w:val="002B5694"/>
    <w:rsid w:val="003004A6"/>
    <w:rsid w:val="003161EF"/>
    <w:rsid w:val="00536231"/>
    <w:rsid w:val="00554409"/>
    <w:rsid w:val="005C6542"/>
    <w:rsid w:val="00711B18"/>
    <w:rsid w:val="00713332"/>
    <w:rsid w:val="00800AE4"/>
    <w:rsid w:val="00802E3D"/>
    <w:rsid w:val="00884177"/>
    <w:rsid w:val="008F22A5"/>
    <w:rsid w:val="009A3EA3"/>
    <w:rsid w:val="009F1AFC"/>
    <w:rsid w:val="00A817E9"/>
    <w:rsid w:val="00B767ED"/>
    <w:rsid w:val="00C01797"/>
    <w:rsid w:val="00CD1596"/>
    <w:rsid w:val="00D3542C"/>
    <w:rsid w:val="00E57453"/>
    <w:rsid w:val="00EB590D"/>
    <w:rsid w:val="00FC0742"/>
    <w:rsid w:val="00FF25F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54DC2123-3334-46A0-B35D-0D7E08394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E3D"/>
    <w:pPr>
      <w:spacing w:line="240" w:lineRule="auto"/>
    </w:pPr>
    <w:rPr>
      <w:rFonts w:ascii="Verdana" w:hAnsi="Verdana"/>
      <w:sz w:val="20"/>
      <w:lang w:val="en-GB"/>
    </w:rPr>
  </w:style>
  <w:style w:type="paragraph" w:styleId="Heading1">
    <w:name w:val="heading 1"/>
    <w:basedOn w:val="Normal"/>
    <w:next w:val="BodyText"/>
    <w:link w:val="Heading1Char"/>
    <w:qFormat/>
    <w:rsid w:val="00802E3D"/>
    <w:pPr>
      <w:keepNext/>
      <w:keepLines/>
      <w:spacing w:before="400" w:after="100"/>
      <w:outlineLvl w:val="0"/>
    </w:pPr>
    <w:rPr>
      <w:rFonts w:asciiTheme="majorHAnsi" w:eastAsiaTheme="majorEastAsia" w:hAnsiTheme="majorHAnsi" w:cstheme="majorBidi"/>
      <w:sz w:val="32"/>
      <w:szCs w:val="32"/>
    </w:rPr>
  </w:style>
  <w:style w:type="paragraph" w:styleId="Heading2">
    <w:name w:val="heading 2"/>
    <w:basedOn w:val="Normal"/>
    <w:next w:val="BodyText"/>
    <w:link w:val="Heading2Char"/>
    <w:qFormat/>
    <w:rsid w:val="00802E3D"/>
    <w:pPr>
      <w:keepNext/>
      <w:keepLines/>
      <w:spacing w:before="400" w:after="100"/>
      <w:outlineLvl w:val="1"/>
    </w:pPr>
    <w:rPr>
      <w:rFonts w:asciiTheme="majorHAnsi" w:eastAsiaTheme="majorEastAsia" w:hAnsiTheme="majorHAnsi" w:cstheme="majorBidi"/>
      <w:sz w:val="28"/>
      <w:szCs w:val="26"/>
    </w:rPr>
  </w:style>
  <w:style w:type="paragraph" w:styleId="Heading3">
    <w:name w:val="heading 3"/>
    <w:basedOn w:val="Normal"/>
    <w:next w:val="BodyText"/>
    <w:link w:val="Heading3Char"/>
    <w:qFormat/>
    <w:rsid w:val="00802E3D"/>
    <w:pPr>
      <w:keepNext/>
      <w:keepLines/>
      <w:spacing w:before="300"/>
      <w:outlineLvl w:val="2"/>
    </w:pPr>
    <w:rPr>
      <w:rFonts w:asciiTheme="majorHAnsi" w:eastAsiaTheme="majorEastAsia" w:hAnsiTheme="majorHAnsi" w:cstheme="majorBidi"/>
      <w:b/>
    </w:rPr>
  </w:style>
  <w:style w:type="paragraph" w:styleId="Heading4">
    <w:name w:val="heading 4"/>
    <w:basedOn w:val="Normal"/>
    <w:next w:val="BodyText"/>
    <w:link w:val="Heading4Char"/>
    <w:qFormat/>
    <w:rsid w:val="00802E3D"/>
    <w:pPr>
      <w:keepNext/>
      <w:keepLines/>
      <w:spacing w:before="300"/>
      <w:outlineLvl w:val="3"/>
    </w:pPr>
    <w:rPr>
      <w:rFonts w:asciiTheme="majorHAnsi" w:eastAsiaTheme="majorEastAsia" w:hAnsiTheme="majorHAnsi" w:cstheme="majorBidi"/>
      <w:b/>
      <w:i/>
      <w:iCs/>
    </w:rPr>
  </w:style>
  <w:style w:type="paragraph" w:styleId="Heading5">
    <w:name w:val="heading 5"/>
    <w:basedOn w:val="Normal"/>
    <w:next w:val="BodyText"/>
    <w:link w:val="Heading5Char"/>
    <w:qFormat/>
    <w:rsid w:val="00802E3D"/>
    <w:pPr>
      <w:keepNext/>
      <w:keepLines/>
      <w:spacing w:before="300"/>
      <w:outlineLvl w:val="4"/>
    </w:pPr>
    <w:rPr>
      <w:rFonts w:asciiTheme="majorHAnsi" w:eastAsiaTheme="majorEastAsia" w:hAnsiTheme="majorHAnsi" w:cstheme="majorBidi"/>
      <w:i/>
    </w:rPr>
  </w:style>
  <w:style w:type="paragraph" w:styleId="Heading6">
    <w:name w:val="heading 6"/>
    <w:basedOn w:val="Normal"/>
    <w:next w:val="BodyText"/>
    <w:link w:val="Heading6Char"/>
    <w:semiHidden/>
    <w:qFormat/>
    <w:rsid w:val="00802E3D"/>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2E3D"/>
    <w:pPr>
      <w:spacing w:after="200" w:line="240" w:lineRule="atLeast"/>
    </w:pPr>
  </w:style>
  <w:style w:type="character" w:customStyle="1" w:styleId="BodyTextChar">
    <w:name w:val="Body Text Char"/>
    <w:basedOn w:val="DefaultParagraphFont"/>
    <w:link w:val="BodyText"/>
    <w:rsid w:val="00802E3D"/>
    <w:rPr>
      <w:rFonts w:ascii="Verdana" w:hAnsi="Verdana"/>
      <w:sz w:val="20"/>
      <w:lang w:val="en-GB"/>
    </w:rPr>
  </w:style>
  <w:style w:type="numbering" w:customStyle="1" w:styleId="BulletList">
    <w:name w:val="Bullet List"/>
    <w:basedOn w:val="NoList"/>
    <w:uiPriority w:val="99"/>
    <w:rsid w:val="00802E3D"/>
    <w:pPr>
      <w:numPr>
        <w:numId w:val="1"/>
      </w:numPr>
    </w:pPr>
  </w:style>
  <w:style w:type="paragraph" w:styleId="Footer">
    <w:name w:val="footer"/>
    <w:basedOn w:val="Normal"/>
    <w:link w:val="FooterChar"/>
    <w:rsid w:val="00802E3D"/>
    <w:pPr>
      <w:tabs>
        <w:tab w:val="center" w:pos="7003"/>
        <w:tab w:val="right" w:pos="14005"/>
      </w:tabs>
    </w:pPr>
    <w:rPr>
      <w:sz w:val="16"/>
    </w:rPr>
  </w:style>
  <w:style w:type="character" w:customStyle="1" w:styleId="FooterChar">
    <w:name w:val="Footer Char"/>
    <w:basedOn w:val="DefaultParagraphFont"/>
    <w:link w:val="Footer"/>
    <w:rsid w:val="00802E3D"/>
    <w:rPr>
      <w:rFonts w:ascii="Verdana" w:hAnsi="Verdana"/>
      <w:sz w:val="16"/>
      <w:lang w:val="en-GB"/>
    </w:rPr>
  </w:style>
  <w:style w:type="paragraph" w:styleId="Header">
    <w:name w:val="header"/>
    <w:basedOn w:val="Normal"/>
    <w:link w:val="HeaderChar"/>
    <w:rsid w:val="00802E3D"/>
    <w:pPr>
      <w:tabs>
        <w:tab w:val="right" w:pos="14005"/>
      </w:tabs>
    </w:pPr>
    <w:rPr>
      <w:sz w:val="16"/>
    </w:rPr>
  </w:style>
  <w:style w:type="character" w:customStyle="1" w:styleId="HeaderChar">
    <w:name w:val="Header Char"/>
    <w:basedOn w:val="DefaultParagraphFont"/>
    <w:link w:val="Header"/>
    <w:rsid w:val="00802E3D"/>
    <w:rPr>
      <w:rFonts w:ascii="Verdana" w:hAnsi="Verdana"/>
      <w:sz w:val="16"/>
      <w:lang w:val="en-GB"/>
    </w:rPr>
  </w:style>
  <w:style w:type="character" w:customStyle="1" w:styleId="Heading1Char">
    <w:name w:val="Heading 1 Char"/>
    <w:basedOn w:val="DefaultParagraphFont"/>
    <w:link w:val="Heading1"/>
    <w:rsid w:val="00802E3D"/>
    <w:rPr>
      <w:rFonts w:asciiTheme="majorHAnsi" w:eastAsiaTheme="majorEastAsia" w:hAnsiTheme="majorHAnsi" w:cstheme="majorBidi"/>
      <w:sz w:val="32"/>
      <w:szCs w:val="32"/>
      <w:lang w:val="en-GB"/>
    </w:rPr>
  </w:style>
  <w:style w:type="character" w:customStyle="1" w:styleId="Heading2Char">
    <w:name w:val="Heading 2 Char"/>
    <w:basedOn w:val="DefaultParagraphFont"/>
    <w:link w:val="Heading2"/>
    <w:rsid w:val="00802E3D"/>
    <w:rPr>
      <w:rFonts w:asciiTheme="majorHAnsi" w:eastAsiaTheme="majorEastAsia" w:hAnsiTheme="majorHAnsi" w:cstheme="majorBidi"/>
      <w:sz w:val="28"/>
      <w:szCs w:val="26"/>
      <w:lang w:val="en-GB"/>
    </w:rPr>
  </w:style>
  <w:style w:type="character" w:customStyle="1" w:styleId="Heading3Char">
    <w:name w:val="Heading 3 Char"/>
    <w:basedOn w:val="DefaultParagraphFont"/>
    <w:link w:val="Heading3"/>
    <w:rsid w:val="00802E3D"/>
    <w:rPr>
      <w:rFonts w:asciiTheme="majorHAnsi" w:eastAsiaTheme="majorEastAsia" w:hAnsiTheme="majorHAnsi" w:cstheme="majorBidi"/>
      <w:b/>
      <w:sz w:val="20"/>
      <w:lang w:val="en-GB"/>
    </w:rPr>
  </w:style>
  <w:style w:type="character" w:customStyle="1" w:styleId="Heading4Char">
    <w:name w:val="Heading 4 Char"/>
    <w:basedOn w:val="DefaultParagraphFont"/>
    <w:link w:val="Heading4"/>
    <w:rsid w:val="00802E3D"/>
    <w:rPr>
      <w:rFonts w:asciiTheme="majorHAnsi" w:eastAsiaTheme="majorEastAsia" w:hAnsiTheme="majorHAnsi" w:cstheme="majorBidi"/>
      <w:b/>
      <w:i/>
      <w:iCs/>
      <w:sz w:val="20"/>
      <w:lang w:val="en-GB"/>
    </w:rPr>
  </w:style>
  <w:style w:type="character" w:customStyle="1" w:styleId="Heading5Char">
    <w:name w:val="Heading 5 Char"/>
    <w:basedOn w:val="DefaultParagraphFont"/>
    <w:link w:val="Heading5"/>
    <w:rsid w:val="00802E3D"/>
    <w:rPr>
      <w:rFonts w:asciiTheme="majorHAnsi" w:eastAsiaTheme="majorEastAsia" w:hAnsiTheme="majorHAnsi" w:cstheme="majorBidi"/>
      <w:i/>
      <w:sz w:val="20"/>
      <w:lang w:val="en-GB"/>
    </w:rPr>
  </w:style>
  <w:style w:type="character" w:customStyle="1" w:styleId="Heading6Char">
    <w:name w:val="Heading 6 Char"/>
    <w:basedOn w:val="DefaultParagraphFont"/>
    <w:link w:val="Heading6"/>
    <w:semiHidden/>
    <w:rsid w:val="00802E3D"/>
    <w:rPr>
      <w:rFonts w:asciiTheme="majorHAnsi" w:eastAsiaTheme="majorEastAsia" w:hAnsiTheme="majorHAnsi" w:cstheme="majorBidi"/>
      <w:b/>
      <w:sz w:val="20"/>
      <w:lang w:val="en-GB"/>
    </w:rPr>
  </w:style>
  <w:style w:type="paragraph" w:styleId="List">
    <w:name w:val="List"/>
    <w:basedOn w:val="BodyText"/>
    <w:uiPriority w:val="1"/>
    <w:semiHidden/>
    <w:unhideWhenUsed/>
    <w:rsid w:val="00802E3D"/>
    <w:pPr>
      <w:spacing w:before="100"/>
      <w:ind w:left="284" w:hanging="284"/>
    </w:pPr>
  </w:style>
  <w:style w:type="paragraph" w:styleId="List2">
    <w:name w:val="List 2"/>
    <w:basedOn w:val="BodyText"/>
    <w:uiPriority w:val="1"/>
    <w:semiHidden/>
    <w:unhideWhenUsed/>
    <w:rsid w:val="00802E3D"/>
    <w:pPr>
      <w:ind w:left="567"/>
    </w:pPr>
  </w:style>
  <w:style w:type="paragraph" w:styleId="List3">
    <w:name w:val="List 3"/>
    <w:basedOn w:val="BodyText"/>
    <w:uiPriority w:val="1"/>
    <w:semiHidden/>
    <w:unhideWhenUsed/>
    <w:rsid w:val="00802E3D"/>
    <w:pPr>
      <w:ind w:left="851"/>
    </w:pPr>
  </w:style>
  <w:style w:type="paragraph" w:styleId="List4">
    <w:name w:val="List 4"/>
    <w:basedOn w:val="BodyText"/>
    <w:uiPriority w:val="1"/>
    <w:semiHidden/>
    <w:unhideWhenUsed/>
    <w:rsid w:val="00802E3D"/>
    <w:pPr>
      <w:ind w:left="1134"/>
    </w:pPr>
  </w:style>
  <w:style w:type="paragraph" w:styleId="List5">
    <w:name w:val="List 5"/>
    <w:basedOn w:val="BodyText"/>
    <w:uiPriority w:val="1"/>
    <w:semiHidden/>
    <w:unhideWhenUsed/>
    <w:rsid w:val="00802E3D"/>
    <w:pPr>
      <w:ind w:left="1418"/>
    </w:pPr>
  </w:style>
  <w:style w:type="paragraph" w:styleId="ListBullet">
    <w:name w:val="List Bullet"/>
    <w:basedOn w:val="BodyText"/>
    <w:qFormat/>
    <w:rsid w:val="00802E3D"/>
    <w:pPr>
      <w:numPr>
        <w:numId w:val="18"/>
      </w:numPr>
    </w:pPr>
  </w:style>
  <w:style w:type="paragraph" w:styleId="ListBullet2">
    <w:name w:val="List Bullet 2"/>
    <w:basedOn w:val="BodyText"/>
    <w:qFormat/>
    <w:rsid w:val="00802E3D"/>
    <w:pPr>
      <w:numPr>
        <w:ilvl w:val="1"/>
        <w:numId w:val="18"/>
      </w:numPr>
    </w:pPr>
  </w:style>
  <w:style w:type="paragraph" w:styleId="ListBullet3">
    <w:name w:val="List Bullet 3"/>
    <w:basedOn w:val="BodyText"/>
    <w:qFormat/>
    <w:rsid w:val="00802E3D"/>
  </w:style>
  <w:style w:type="paragraph" w:styleId="ListContinue">
    <w:name w:val="List Continue"/>
    <w:basedOn w:val="BodyText"/>
    <w:uiPriority w:val="1"/>
    <w:rsid w:val="00802E3D"/>
    <w:pPr>
      <w:ind w:left="284"/>
    </w:pPr>
  </w:style>
  <w:style w:type="paragraph" w:styleId="ListContinue2">
    <w:name w:val="List Continue 2"/>
    <w:basedOn w:val="BodyText"/>
    <w:uiPriority w:val="1"/>
    <w:rsid w:val="00802E3D"/>
    <w:pPr>
      <w:ind w:left="567"/>
    </w:pPr>
  </w:style>
  <w:style w:type="paragraph" w:styleId="ListContinue3">
    <w:name w:val="List Continue 3"/>
    <w:basedOn w:val="BodyText"/>
    <w:uiPriority w:val="1"/>
    <w:rsid w:val="00802E3D"/>
    <w:pPr>
      <w:ind w:left="851"/>
    </w:pPr>
  </w:style>
  <w:style w:type="paragraph" w:styleId="ListContinue4">
    <w:name w:val="List Continue 4"/>
    <w:basedOn w:val="BodyText"/>
    <w:uiPriority w:val="1"/>
    <w:rsid w:val="00802E3D"/>
    <w:pPr>
      <w:ind w:left="1247"/>
    </w:pPr>
  </w:style>
  <w:style w:type="paragraph" w:styleId="ListContinue5">
    <w:name w:val="List Continue 5"/>
    <w:basedOn w:val="BodyText"/>
    <w:uiPriority w:val="1"/>
    <w:rsid w:val="00802E3D"/>
    <w:pPr>
      <w:ind w:left="1985"/>
    </w:pPr>
  </w:style>
  <w:style w:type="paragraph" w:styleId="ListNumber">
    <w:name w:val="List Number"/>
    <w:basedOn w:val="BodyText"/>
    <w:qFormat/>
    <w:rsid w:val="00802E3D"/>
    <w:pPr>
      <w:numPr>
        <w:numId w:val="22"/>
      </w:numPr>
    </w:pPr>
  </w:style>
  <w:style w:type="paragraph" w:styleId="ListNumber2">
    <w:name w:val="List Number 2"/>
    <w:basedOn w:val="BodyText"/>
    <w:qFormat/>
    <w:rsid w:val="00802E3D"/>
    <w:pPr>
      <w:numPr>
        <w:ilvl w:val="1"/>
        <w:numId w:val="22"/>
      </w:numPr>
    </w:pPr>
  </w:style>
  <w:style w:type="paragraph" w:styleId="ListNumber3">
    <w:name w:val="List Number 3"/>
    <w:basedOn w:val="BodyText"/>
    <w:qFormat/>
    <w:rsid w:val="00802E3D"/>
    <w:pPr>
      <w:numPr>
        <w:ilvl w:val="2"/>
        <w:numId w:val="22"/>
      </w:numPr>
    </w:pPr>
  </w:style>
  <w:style w:type="numbering" w:customStyle="1" w:styleId="NumberList">
    <w:name w:val="Number List"/>
    <w:basedOn w:val="BulletList"/>
    <w:uiPriority w:val="99"/>
    <w:rsid w:val="00802E3D"/>
    <w:pPr>
      <w:numPr>
        <w:numId w:val="14"/>
      </w:numPr>
    </w:pPr>
  </w:style>
  <w:style w:type="paragraph" w:styleId="Subtitle">
    <w:name w:val="Subtitle"/>
    <w:basedOn w:val="Normal"/>
    <w:next w:val="Normal"/>
    <w:link w:val="SubtitleChar"/>
    <w:qFormat/>
    <w:rsid w:val="009A3EA3"/>
    <w:pPr>
      <w:numPr>
        <w:ilvl w:val="1"/>
      </w:numPr>
      <w:spacing w:after="200"/>
    </w:pPr>
    <w:rPr>
      <w:rFonts w:eastAsiaTheme="minorEastAsia"/>
      <w:sz w:val="36"/>
    </w:rPr>
  </w:style>
  <w:style w:type="character" w:customStyle="1" w:styleId="SubtitleChar">
    <w:name w:val="Subtitle Char"/>
    <w:basedOn w:val="DefaultParagraphFont"/>
    <w:link w:val="Subtitle"/>
    <w:rsid w:val="009A3EA3"/>
    <w:rPr>
      <w:rFonts w:asciiTheme="minorHAnsi" w:eastAsiaTheme="minorEastAsia" w:hAnsiTheme="minorHAnsi"/>
      <w:sz w:val="36"/>
      <w:lang w:val="en-GB"/>
    </w:rPr>
  </w:style>
  <w:style w:type="table" w:styleId="TableGrid">
    <w:name w:val="Table Grid"/>
    <w:basedOn w:val="TableNormal"/>
    <w:uiPriority w:val="39"/>
    <w:rsid w:val="00802E3D"/>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E57453"/>
    <w:pPr>
      <w:spacing w:after="300"/>
      <w:contextualSpacing/>
    </w:pPr>
    <w:rPr>
      <w:rFonts w:eastAsiaTheme="majorEastAsia" w:cstheme="majorBidi"/>
      <w:b/>
      <w:spacing w:val="-10"/>
      <w:kern w:val="28"/>
      <w:szCs w:val="56"/>
    </w:rPr>
  </w:style>
  <w:style w:type="character" w:customStyle="1" w:styleId="TitleChar">
    <w:name w:val="Title Char"/>
    <w:basedOn w:val="DefaultParagraphFont"/>
    <w:link w:val="Title"/>
    <w:rsid w:val="00E57453"/>
    <w:rPr>
      <w:rFonts w:ascii="Verdana" w:eastAsiaTheme="majorEastAsia" w:hAnsi="Verdana" w:cstheme="majorBidi"/>
      <w:b/>
      <w:spacing w:val="-10"/>
      <w:kern w:val="28"/>
      <w:sz w:val="20"/>
      <w:szCs w:val="56"/>
      <w:lang w:val="en-GB"/>
    </w:rPr>
  </w:style>
  <w:style w:type="paragraph" w:styleId="TOC1">
    <w:name w:val="toc 1"/>
    <w:basedOn w:val="Normal"/>
    <w:next w:val="Normal"/>
    <w:uiPriority w:val="1"/>
    <w:semiHidden/>
    <w:unhideWhenUsed/>
    <w:rsid w:val="00802E3D"/>
    <w:pPr>
      <w:spacing w:after="100"/>
    </w:pPr>
  </w:style>
  <w:style w:type="paragraph" w:styleId="TOC2">
    <w:name w:val="toc 2"/>
    <w:basedOn w:val="Normal"/>
    <w:next w:val="Normal"/>
    <w:uiPriority w:val="1"/>
    <w:semiHidden/>
    <w:unhideWhenUsed/>
    <w:rsid w:val="00802E3D"/>
    <w:pPr>
      <w:spacing w:after="100"/>
      <w:ind w:left="221"/>
    </w:pPr>
  </w:style>
  <w:style w:type="paragraph" w:styleId="TOC3">
    <w:name w:val="toc 3"/>
    <w:basedOn w:val="Normal"/>
    <w:next w:val="Normal"/>
    <w:uiPriority w:val="1"/>
    <w:semiHidden/>
    <w:unhideWhenUsed/>
    <w:rsid w:val="00802E3D"/>
    <w:pPr>
      <w:spacing w:after="100"/>
      <w:ind w:left="442"/>
    </w:pPr>
  </w:style>
  <w:style w:type="paragraph" w:customStyle="1" w:styleId="BodyTextNoSpacing">
    <w:name w:val="Body Text No Spacing"/>
    <w:basedOn w:val="BodyText"/>
    <w:qFormat/>
    <w:rsid w:val="00802E3D"/>
    <w:pPr>
      <w:spacing w:after="0"/>
    </w:pPr>
  </w:style>
  <w:style w:type="paragraph" w:styleId="Date">
    <w:name w:val="Date"/>
    <w:basedOn w:val="Normal"/>
    <w:next w:val="Normal"/>
    <w:link w:val="DateChar"/>
    <w:rsid w:val="00802E3D"/>
  </w:style>
  <w:style w:type="character" w:customStyle="1" w:styleId="DateChar">
    <w:name w:val="Date Char"/>
    <w:basedOn w:val="DefaultParagraphFont"/>
    <w:link w:val="Date"/>
    <w:rsid w:val="00802E3D"/>
    <w:rPr>
      <w:rFonts w:ascii="Verdana" w:hAnsi="Verdana"/>
      <w:sz w:val="20"/>
      <w:lang w:val="en-GB"/>
    </w:rPr>
  </w:style>
  <w:style w:type="paragraph" w:styleId="TOCHeading">
    <w:name w:val="TOC Heading"/>
    <w:basedOn w:val="Heading1"/>
    <w:next w:val="Normal"/>
    <w:qFormat/>
    <w:rsid w:val="008F22A5"/>
    <w:pPr>
      <w:spacing w:before="0" w:after="0"/>
      <w:outlineLvl w:val="9"/>
    </w:pPr>
  </w:style>
  <w:style w:type="numbering" w:customStyle="1" w:styleId="ElectralinkQuestionNumbers">
    <w:name w:val="Electralink Question Numbers"/>
    <w:basedOn w:val="NoList"/>
    <w:uiPriority w:val="99"/>
    <w:rsid w:val="00802E3D"/>
    <w:pPr>
      <w:numPr>
        <w:numId w:val="16"/>
      </w:numPr>
    </w:pPr>
  </w:style>
  <w:style w:type="table" w:customStyle="1" w:styleId="ElectralinkResponseTable">
    <w:name w:val="Electralink Response Table"/>
    <w:basedOn w:val="TableNormal"/>
    <w:uiPriority w:val="99"/>
    <w:rsid w:val="00802E3D"/>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character" w:styleId="FootnoteReference">
    <w:name w:val="footnote reference"/>
    <w:basedOn w:val="DefaultParagraphFont"/>
    <w:uiPriority w:val="99"/>
    <w:semiHidden/>
    <w:unhideWhenUsed/>
    <w:rsid w:val="00802E3D"/>
    <w:rPr>
      <w:vertAlign w:val="superscript"/>
    </w:rPr>
  </w:style>
  <w:style w:type="paragraph" w:styleId="FootnoteText">
    <w:name w:val="footnote text"/>
    <w:basedOn w:val="Normal"/>
    <w:link w:val="FootnoteTextChar"/>
    <w:uiPriority w:val="99"/>
    <w:rsid w:val="00802E3D"/>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802E3D"/>
    <w:rPr>
      <w:rFonts w:ascii="Verdana" w:hAnsi="Verdana"/>
      <w:sz w:val="16"/>
      <w:szCs w:val="20"/>
      <w:lang w:val="en-GB"/>
    </w:rPr>
  </w:style>
  <w:style w:type="character" w:styleId="Hyperlink">
    <w:name w:val="Hyperlink"/>
    <w:basedOn w:val="DefaultParagraphFont"/>
    <w:uiPriority w:val="99"/>
    <w:unhideWhenUsed/>
    <w:rsid w:val="00802E3D"/>
    <w:rPr>
      <w:color w:val="0000FF" w:themeColor="hyperlink"/>
      <w:u w:val="single"/>
    </w:rPr>
  </w:style>
  <w:style w:type="character" w:styleId="PlaceholderText">
    <w:name w:val="Placeholder Text"/>
    <w:basedOn w:val="DefaultParagraphFont"/>
    <w:uiPriority w:val="99"/>
    <w:semiHidden/>
    <w:rsid w:val="00802E3D"/>
    <w:rPr>
      <w:color w:val="808080"/>
    </w:rPr>
  </w:style>
  <w:style w:type="paragraph" w:customStyle="1" w:styleId="Question">
    <w:name w:val="Question"/>
    <w:basedOn w:val="Normal"/>
    <w:next w:val="BodyText"/>
    <w:qFormat/>
    <w:rsid w:val="00802E3D"/>
    <w:pPr>
      <w:keepNext/>
      <w:keepLines/>
      <w:numPr>
        <w:numId w:val="23"/>
      </w:numPr>
    </w:pPr>
    <w:rPr>
      <w:b/>
    </w:rPr>
  </w:style>
  <w:style w:type="paragraph" w:customStyle="1" w:styleId="ColumnHeading">
    <w:name w:val="Column Heading"/>
    <w:basedOn w:val="Normal"/>
    <w:next w:val="Normal"/>
    <w:qFormat/>
    <w:rsid w:val="00B767ED"/>
    <w:rPr>
      <w:b/>
    </w:rPr>
  </w:style>
  <w:style w:type="paragraph" w:customStyle="1" w:styleId="Default">
    <w:name w:val="Default"/>
    <w:rsid w:val="00536231"/>
    <w:pPr>
      <w:autoSpaceDE w:val="0"/>
      <w:autoSpaceDN w:val="0"/>
      <w:adjustRightInd w:val="0"/>
      <w:spacing w:line="240" w:lineRule="auto"/>
    </w:pPr>
    <w:rPr>
      <w:rFonts w:ascii="Calibri" w:hAnsi="Calibri" w:cs="Calibri"/>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ocuments\Custom%20Office%20Templates\DCUSA%20Collated%20Response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063C8-3458-4744-A76C-7C214B9BD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Collated Responses Template</Template>
  <TotalTime>69</TotalTime>
  <Pages>26</Pages>
  <Words>6370</Words>
  <Characters>36314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Elecatralink</Company>
  <LinksUpToDate>false</LinksUpToDate>
  <CharactersWithSpaces>42599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Hynes</dc:creator>
  <cp:keywords/>
  <dc:description/>
  <cp:lastModifiedBy>Fungai Madzivadondo</cp:lastModifiedBy>
  <cp:revision>4</cp:revision>
  <dcterms:created xsi:type="dcterms:W3CDTF">2016-04-19T09:58:00Z</dcterms:created>
  <dcterms:modified xsi:type="dcterms:W3CDTF">2016-04-21T10:30:00Z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